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8.xml" ContentType="application/vnd.openxmlformats-officedocument.wordprocessingml.header+xml"/>
  <Override PartName="/word/footer16.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1.xml" ContentType="application/vnd.openxmlformats-officedocument.wordprocessingml.header+xml"/>
  <Override PartName="/word/footer19.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4.xml" ContentType="application/vnd.openxmlformats-officedocument.wordprocessingml.header+xml"/>
  <Override PartName="/word/footer22.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7.xml" ContentType="application/vnd.openxmlformats-officedocument.wordprocessingml.header+xml"/>
  <Override PartName="/word/footer2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A59" w:rsidRDefault="00A82039" w:rsidP="00AD40BF">
      <w:pPr>
        <w:pBdr>
          <w:top w:val="nil"/>
          <w:left w:val="nil"/>
          <w:bottom w:val="nil"/>
          <w:right w:val="nil"/>
          <w:between w:val="nil"/>
          <w:bar w:val="nil"/>
        </w:pBdr>
        <w:rPr>
          <w:bdr w:val="nil"/>
        </w:rPr>
        <w:sectPr w:rsidR="007B4A59" w:rsidSect="0019046E">
          <w:headerReference w:type="even" r:id="rId7"/>
          <w:headerReference w:type="default" r:id="rId8"/>
          <w:headerReference w:type="first" r:id="rId9"/>
          <w:footerReference w:type="first" r:id="rId10"/>
          <w:type w:val="continuous"/>
          <w:pgSz w:w="11906" w:h="16838"/>
          <w:pgMar w:top="1134" w:right="1134" w:bottom="1134" w:left="1134" w:header="425" w:footer="425" w:gutter="0"/>
          <w:pgBorders>
            <w:top w:val="nil"/>
            <w:left w:val="nil"/>
            <w:bottom w:val="nil"/>
            <w:right w:val="nil"/>
          </w:pgBorders>
          <w:pgNumType w:start="1"/>
          <w:cols w:space="708"/>
          <w:docGrid w:linePitch="360"/>
        </w:sectPr>
      </w:pPr>
      <w:r w:rsidRPr="001C6A4C">
        <w:rPr>
          <w:noProof/>
          <w:bdr w:val="nil"/>
        </w:rPr>
        <mc:AlternateContent>
          <mc:Choice Requires="wps">
            <w:drawing>
              <wp:anchor distT="0" distB="0" distL="114300" distR="114300" simplePos="0" relativeHeight="251661312" behindDoc="0" locked="0" layoutInCell="1" allowOverlap="1">
                <wp:simplePos x="0" y="0"/>
                <wp:positionH relativeFrom="column">
                  <wp:posOffset>-367030</wp:posOffset>
                </wp:positionH>
                <wp:positionV relativeFrom="paragraph">
                  <wp:posOffset>1231265</wp:posOffset>
                </wp:positionV>
                <wp:extent cx="4810125" cy="2562225"/>
                <wp:effectExtent l="0" t="0" r="0" b="0"/>
                <wp:wrapNone/>
                <wp:docPr id="3" name="Caixa de Texto DemCon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2562225"/>
                        </a:xfrm>
                        <a:prstGeom prst="rect">
                          <a:avLst/>
                        </a:prstGeom>
                        <a:noFill/>
                        <a:ln w="9525">
                          <a:noFill/>
                          <a:miter lim="800000"/>
                          <a:headEnd/>
                          <a:tailEnd/>
                        </a:ln>
                      </wps:spPr>
                      <wps:txbx>
                        <w:txbxContent>
                          <w:p w:rsidR="0019046E" w:rsidRDefault="00A82039" w:rsidP="0019046E">
                            <w:pPr>
                              <w:pBdr>
                                <w:top w:val="nil"/>
                                <w:left w:val="nil"/>
                                <w:bottom w:val="nil"/>
                                <w:right w:val="nil"/>
                                <w:between w:val="nil"/>
                                <w:bar w:val="nil"/>
                              </w:pBdr>
                              <w:spacing w:before="0" w:after="0" w:line="240" w:lineRule="auto"/>
                              <w:jc w:val="left"/>
                              <w:rPr>
                                <w:rFonts w:ascii="Arial-BoldMT" w:hAnsi="Arial-BoldMT" w:cs="Arial-BoldMT"/>
                                <w:b/>
                                <w:bCs/>
                                <w:color w:val="0054A1"/>
                                <w:sz w:val="60"/>
                                <w:szCs w:val="64"/>
                                <w:bdr w:val="nil"/>
                              </w:rPr>
                            </w:pPr>
                            <w:r>
                              <w:rPr>
                                <w:rFonts w:ascii="Arial-BoldMT" w:hAnsi="Arial-BoldMT" w:cs="Arial-BoldMT"/>
                                <w:b/>
                                <w:bCs/>
                                <w:color w:val="0054A1"/>
                                <w:sz w:val="60"/>
                                <w:szCs w:val="64"/>
                                <w:bdr w:val="nil"/>
                              </w:rPr>
                              <w:t>Ativos S.A.</w:t>
                            </w:r>
                          </w:p>
                          <w:p w:rsidR="007B54A6" w:rsidRPr="007B54A6" w:rsidRDefault="007B54A6" w:rsidP="007B54A6">
                            <w:pPr>
                              <w:pBdr>
                                <w:top w:val="nil"/>
                                <w:left w:val="nil"/>
                                <w:bottom w:val="nil"/>
                                <w:right w:val="nil"/>
                                <w:between w:val="nil"/>
                                <w:bar w:val="nil"/>
                              </w:pBdr>
                              <w:spacing w:before="0" w:after="0" w:line="240" w:lineRule="auto"/>
                              <w:jc w:val="left"/>
                              <w:rPr>
                                <w:rFonts w:ascii="Arial-BoldMT" w:hAnsi="Arial-BoldMT" w:cs="Arial-BoldMT"/>
                                <w:b/>
                                <w:bCs/>
                                <w:color w:val="0054A1"/>
                                <w:sz w:val="48"/>
                                <w:szCs w:val="48"/>
                                <w:bdr w:val="nil"/>
                              </w:rPr>
                            </w:pPr>
                          </w:p>
                          <w:p w:rsidR="0019046E" w:rsidRPr="00565ACD" w:rsidRDefault="00A82039" w:rsidP="0019046E">
                            <w:pPr>
                              <w:pBdr>
                                <w:top w:val="nil"/>
                                <w:left w:val="nil"/>
                                <w:bottom w:val="nil"/>
                                <w:right w:val="nil"/>
                                <w:between w:val="nil"/>
                                <w:bar w:val="nil"/>
                              </w:pBdr>
                              <w:autoSpaceDE w:val="0"/>
                              <w:autoSpaceDN w:val="0"/>
                              <w:adjustRightInd w:val="0"/>
                              <w:spacing w:after="0" w:line="240" w:lineRule="auto"/>
                              <w:jc w:val="left"/>
                              <w:rPr>
                                <w:rFonts w:ascii="Arial-BoldMT" w:hAnsi="Arial-BoldMT" w:cs="Arial-BoldMT"/>
                                <w:b/>
                                <w:bCs/>
                                <w:color w:val="0054A1"/>
                                <w:sz w:val="44"/>
                                <w:szCs w:val="48"/>
                                <w:bdr w:val="nil"/>
                              </w:rPr>
                            </w:pPr>
                            <w:r w:rsidRPr="00565ACD">
                              <w:rPr>
                                <w:rFonts w:ascii="Arial-BoldMT" w:hAnsi="Arial-BoldMT" w:cs="Arial-BoldMT"/>
                                <w:b/>
                                <w:bCs/>
                                <w:color w:val="0054A1"/>
                                <w:sz w:val="44"/>
                                <w:szCs w:val="48"/>
                                <w:bdr w:val="nil"/>
                              </w:rPr>
                              <w:t>Demonstrações</w:t>
                            </w:r>
                          </w:p>
                          <w:p w:rsidR="0019046E" w:rsidRDefault="00A82039" w:rsidP="0019046E">
                            <w:pPr>
                              <w:pBdr>
                                <w:top w:val="nil"/>
                                <w:left w:val="nil"/>
                                <w:bottom w:val="nil"/>
                                <w:right w:val="nil"/>
                                <w:between w:val="nil"/>
                                <w:bar w:val="nil"/>
                              </w:pBdr>
                              <w:spacing w:after="0"/>
                              <w:jc w:val="left"/>
                              <w:rPr>
                                <w:rFonts w:ascii="Arial-BoldMT" w:hAnsi="Arial-BoldMT" w:cs="Arial-BoldMT"/>
                                <w:b/>
                                <w:bCs/>
                                <w:color w:val="0054A1"/>
                                <w:sz w:val="44"/>
                                <w:szCs w:val="48"/>
                                <w:bdr w:val="nil"/>
                              </w:rPr>
                            </w:pPr>
                            <w:r w:rsidRPr="00565ACD">
                              <w:rPr>
                                <w:rFonts w:ascii="Arial-BoldMT" w:hAnsi="Arial-BoldMT" w:cs="Arial-BoldMT"/>
                                <w:b/>
                                <w:bCs/>
                                <w:color w:val="0054A1"/>
                                <w:sz w:val="44"/>
                                <w:szCs w:val="48"/>
                                <w:bdr w:val="nil"/>
                              </w:rPr>
                              <w:t>Contábeis</w:t>
                            </w:r>
                          </w:p>
                          <w:p w:rsidR="0019046E" w:rsidRPr="00565ACD" w:rsidRDefault="00A82039" w:rsidP="0019046E">
                            <w:pPr>
                              <w:pBdr>
                                <w:top w:val="nil"/>
                                <w:left w:val="nil"/>
                                <w:bottom w:val="nil"/>
                                <w:right w:val="nil"/>
                                <w:between w:val="nil"/>
                                <w:bar w:val="nil"/>
                              </w:pBdr>
                              <w:spacing w:after="0"/>
                              <w:jc w:val="left"/>
                              <w:rPr>
                                <w:rFonts w:ascii="Arial-BoldMT" w:hAnsi="Arial-BoldMT" w:cs="Arial-BoldMT"/>
                                <w:b/>
                                <w:bCs/>
                                <w:color w:val="0054A1"/>
                                <w:sz w:val="44"/>
                                <w:szCs w:val="48"/>
                                <w:bdr w:val="nil"/>
                              </w:rPr>
                            </w:pPr>
                            <w:r>
                              <w:rPr>
                                <w:rFonts w:ascii="Arial-BoldMT" w:hAnsi="Arial-BoldMT" w:cs="Arial-BoldMT"/>
                                <w:b/>
                                <w:bCs/>
                                <w:color w:val="0054A1"/>
                                <w:sz w:val="44"/>
                                <w:szCs w:val="48"/>
                                <w:bdr w:val="nil"/>
                              </w:rPr>
                              <w:t>Exercício 2019</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shapetype id="_x0000_t202" coordsize="21600,21600" o:spt="202" path="m,l,21600r21600,l21600,xe">
                <v:stroke joinstyle="miter"/>
                <v:path gradientshapeok="t" o:connecttype="rect"/>
              </v:shapetype>
              <v:shape id="Caixa de Texto DemCont" o:spid="_x0000_s1025" type="#_x0000_t202" style="width:378.75pt;height:201.75pt;margin-top:96.95pt;margin-left:-28.9pt;mso-height-percent:0;mso-height-relative:margin;mso-width-percent:0;mso-width-relative:margin;mso-wrap-distance-bottom:0;mso-wrap-distance-left:9pt;mso-wrap-distance-right:9pt;mso-wrap-distance-top:0;position:absolute;v-text-anchor:top;z-index:251660288" filled="f" fillcolor="this" stroked="f" strokeweight="0.75pt">
                <v:textbox>
                  <w:txbxContent>
                    <w:p w:rsidR="0019046E" w:rsidP="0019046E">
                      <w:pPr>
                        <w:keepNext w:val="0"/>
                        <w:keepLines w:val="0"/>
                        <w:pageBreakBefore w:val="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Fonts w:ascii="Arial-BoldMT" w:hAnsi="Arial-BoldMT" w:cs="Arial-BoldMT"/>
                          <w:b/>
                          <w:bCs/>
                          <w:i w:val="0"/>
                          <w:iCs w:val="0"/>
                          <w:caps w:val="0"/>
                          <w:smallCaps w:val="0"/>
                          <w:strike w:val="0"/>
                          <w:dstrike w:val="0"/>
                          <w:outline w:val="0"/>
                          <w:shadow w:val="0"/>
                          <w:emboss w:val="0"/>
                          <w:imprint w:val="0"/>
                          <w:noProof w:val="0"/>
                          <w:vanish w:val="0"/>
                          <w:color w:val="0054A1"/>
                          <w:spacing w:val="0"/>
                          <w:w w:val="100"/>
                          <w:kern w:val="0"/>
                          <w:position w:val="0"/>
                          <w:sz w:val="60"/>
                          <w:szCs w:val="64"/>
                          <w:highlight w:val="none"/>
                          <w:u w:val="none"/>
                          <w:effect w:val="none"/>
                          <w:bdr w:val="nil"/>
                          <w:shd w:val="clear" w:color="auto" w:fill="auto"/>
                          <w:vertAlign w:val="baseline"/>
                          <w:rtl w:val="0"/>
                          <w:cs w:val="0"/>
                          <w:lang w:val="pt-BR" w:bidi="ar-SA"/>
                        </w:rPr>
                      </w:pPr>
                      <w:r>
                        <w:rPr>
                          <w:rFonts w:ascii="Arial-BoldMT" w:eastAsia="Times New Roman" w:hAnsi="Arial-BoldMT" w:cs="Arial-BoldMT"/>
                          <w:b/>
                          <w:bCs/>
                          <w:i w:val="0"/>
                          <w:iCs w:val="0"/>
                          <w:caps w:val="0"/>
                          <w:smallCaps w:val="0"/>
                          <w:strike w:val="0"/>
                          <w:dstrike w:val="0"/>
                          <w:outline w:val="0"/>
                          <w:shadow w:val="0"/>
                          <w:emboss w:val="0"/>
                          <w:imprint w:val="0"/>
                          <w:noProof w:val="0"/>
                          <w:vanish w:val="0"/>
                          <w:color w:val="0054A1"/>
                          <w:spacing w:val="0"/>
                          <w:w w:val="100"/>
                          <w:kern w:val="0"/>
                          <w:position w:val="0"/>
                          <w:sz w:val="60"/>
                          <w:szCs w:val="64"/>
                          <w:highlight w:val="none"/>
                          <w:u w:val="none"/>
                          <w:effect w:val="none"/>
                          <w:bdr w:val="nil"/>
                          <w:shd w:val="clear" w:color="auto" w:fill="auto"/>
                          <w:vertAlign w:val="baseline"/>
                          <w:rtl w:val="0"/>
                          <w:cs w:val="0"/>
                          <w:lang w:val="pt-BR" w:eastAsia="pt-BR" w:bidi="ar-SA"/>
                        </w:rPr>
                        <w:t>Ativos S.A.</w:t>
                      </w:r>
                    </w:p>
                    <w:p w:rsidR="007B54A6" w:rsidRPr="007B54A6" w:rsidP="007B54A6">
                      <w:pPr>
                        <w:keepNext w:val="0"/>
                        <w:keepLines w:val="0"/>
                        <w:pageBreakBefore w:val="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Fonts w:ascii="Arial-BoldMT" w:hAnsi="Arial-BoldMT" w:cs="Arial-BoldMT"/>
                          <w:b/>
                          <w:bCs/>
                          <w:i w:val="0"/>
                          <w:iCs w:val="0"/>
                          <w:caps w:val="0"/>
                          <w:smallCaps w:val="0"/>
                          <w:strike w:val="0"/>
                          <w:dstrike w:val="0"/>
                          <w:outline w:val="0"/>
                          <w:shadow w:val="0"/>
                          <w:emboss w:val="0"/>
                          <w:imprint w:val="0"/>
                          <w:noProof w:val="0"/>
                          <w:vanish w:val="0"/>
                          <w:color w:val="0054A1"/>
                          <w:spacing w:val="0"/>
                          <w:w w:val="100"/>
                          <w:kern w:val="0"/>
                          <w:position w:val="0"/>
                          <w:sz w:val="48"/>
                          <w:szCs w:val="48"/>
                          <w:highlight w:val="none"/>
                          <w:u w:val="none"/>
                          <w:effect w:val="none"/>
                          <w:bdr w:val="nil"/>
                          <w:shd w:val="clear" w:color="auto" w:fill="auto"/>
                          <w:vertAlign w:val="baseline"/>
                          <w:rtl w:val="0"/>
                          <w:cs w:val="0"/>
                          <w:lang w:val="pt-BR" w:bidi="ar-SA"/>
                        </w:rPr>
                      </w:pPr>
                    </w:p>
                    <w:p w:rsidR="0019046E" w:rsidRPr="00565ACD" w:rsidP="0019046E">
                      <w:pPr>
                        <w:keepNext w:val="0"/>
                        <w:keepLines w:val="0"/>
                        <w:pageBreakBefore w:val="0"/>
                        <w:widowControl/>
                        <w:suppressLineNumbers w:val="0"/>
                        <w:pBdr>
                          <w:top w:val="nil"/>
                          <w:left w:val="nil"/>
                          <w:bottom w:val="nil"/>
                          <w:right w:val="nil"/>
                          <w:between w:val="nil"/>
                          <w:bar w:val="nil"/>
                        </w:pBdr>
                        <w:shd w:val="clear" w:color="auto" w:fill="auto"/>
                        <w:suppressAutoHyphens w:val="0"/>
                        <w:autoSpaceDE w:val="0"/>
                        <w:autoSpaceDN w:val="0"/>
                        <w:bidi w:val="0"/>
                        <w:adjustRightInd w:val="0"/>
                        <w:spacing w:before="120" w:beforeAutospacing="0" w:after="0" w:afterAutospacing="0" w:line="240" w:lineRule="auto"/>
                        <w:ind w:left="0" w:right="0" w:firstLine="0"/>
                        <w:contextualSpacing w:val="0"/>
                        <w:jc w:val="left"/>
                        <w:outlineLvl w:val="9"/>
                        <w:rPr>
                          <w:rFonts w:ascii="Arial-BoldMT" w:hAnsi="Arial-BoldMT" w:cs="Arial-BoldMT"/>
                          <w:b/>
                          <w:bCs/>
                          <w:i w:val="0"/>
                          <w:iCs w:val="0"/>
                          <w:caps w:val="0"/>
                          <w:smallCaps w:val="0"/>
                          <w:strike w:val="0"/>
                          <w:dstrike w:val="0"/>
                          <w:outline w:val="0"/>
                          <w:shadow w:val="0"/>
                          <w:emboss w:val="0"/>
                          <w:imprint w:val="0"/>
                          <w:noProof w:val="0"/>
                          <w:vanish w:val="0"/>
                          <w:color w:val="0054A1"/>
                          <w:spacing w:val="0"/>
                          <w:w w:val="100"/>
                          <w:kern w:val="0"/>
                          <w:position w:val="0"/>
                          <w:sz w:val="44"/>
                          <w:szCs w:val="48"/>
                          <w:highlight w:val="none"/>
                          <w:u w:val="none"/>
                          <w:effect w:val="none"/>
                          <w:bdr w:val="nil"/>
                          <w:shd w:val="clear" w:color="auto" w:fill="auto"/>
                          <w:vertAlign w:val="baseline"/>
                          <w:rtl w:val="0"/>
                          <w:cs w:val="0"/>
                          <w:lang w:val="pt-BR" w:bidi="ar-SA"/>
                        </w:rPr>
                      </w:pPr>
                      <w:r w:rsidRPr="00565ACD">
                        <w:rPr>
                          <w:rFonts w:ascii="Arial-BoldMT" w:eastAsia="Times New Roman" w:hAnsi="Arial-BoldMT" w:cs="Arial-BoldMT"/>
                          <w:b/>
                          <w:bCs/>
                          <w:i w:val="0"/>
                          <w:iCs w:val="0"/>
                          <w:caps w:val="0"/>
                          <w:smallCaps w:val="0"/>
                          <w:strike w:val="0"/>
                          <w:dstrike w:val="0"/>
                          <w:outline w:val="0"/>
                          <w:shadow w:val="0"/>
                          <w:emboss w:val="0"/>
                          <w:imprint w:val="0"/>
                          <w:noProof w:val="0"/>
                          <w:vanish w:val="0"/>
                          <w:color w:val="0054A1"/>
                          <w:spacing w:val="0"/>
                          <w:w w:val="100"/>
                          <w:kern w:val="0"/>
                          <w:position w:val="0"/>
                          <w:sz w:val="44"/>
                          <w:szCs w:val="48"/>
                          <w:highlight w:val="none"/>
                          <w:u w:val="none"/>
                          <w:effect w:val="none"/>
                          <w:bdr w:val="nil"/>
                          <w:shd w:val="clear" w:color="auto" w:fill="auto"/>
                          <w:vertAlign w:val="baseline"/>
                          <w:rtl w:val="0"/>
                          <w:cs w:val="0"/>
                          <w:lang w:val="pt-BR" w:eastAsia="pt-BR" w:bidi="ar-SA"/>
                        </w:rPr>
                        <w:t>Demonstrações</w:t>
                      </w:r>
                    </w:p>
                    <w:p w:rsidR="0019046E" w:rsidP="0019046E">
                      <w:pPr>
                        <w:keepNext w:val="0"/>
                        <w:keepLines w:val="0"/>
                        <w:pageBreakBefore w:val="0"/>
                        <w:widowControl/>
                        <w:suppressLineNumbers w:val="0"/>
                        <w:pBdr>
                          <w:top w:val="nil"/>
                          <w:left w:val="nil"/>
                          <w:bottom w:val="nil"/>
                          <w:right w:val="nil"/>
                          <w:between w:val="nil"/>
                          <w:bar w:val="nil"/>
                        </w:pBdr>
                        <w:shd w:val="clear" w:color="auto" w:fill="auto"/>
                        <w:suppressAutoHyphens w:val="0"/>
                        <w:bidi w:val="0"/>
                        <w:spacing w:before="120" w:beforeAutospacing="0" w:after="0" w:afterAutospacing="0" w:line="276" w:lineRule="auto"/>
                        <w:ind w:left="0" w:right="0" w:firstLine="0"/>
                        <w:contextualSpacing w:val="0"/>
                        <w:jc w:val="left"/>
                        <w:outlineLvl w:val="9"/>
                        <w:rPr>
                          <w:rFonts w:ascii="Arial-BoldMT" w:hAnsi="Arial-BoldMT" w:cs="Arial-BoldMT"/>
                          <w:b/>
                          <w:bCs/>
                          <w:i w:val="0"/>
                          <w:iCs w:val="0"/>
                          <w:caps w:val="0"/>
                          <w:smallCaps w:val="0"/>
                          <w:strike w:val="0"/>
                          <w:dstrike w:val="0"/>
                          <w:outline w:val="0"/>
                          <w:shadow w:val="0"/>
                          <w:emboss w:val="0"/>
                          <w:imprint w:val="0"/>
                          <w:noProof w:val="0"/>
                          <w:vanish w:val="0"/>
                          <w:color w:val="0054A1"/>
                          <w:spacing w:val="0"/>
                          <w:w w:val="100"/>
                          <w:kern w:val="0"/>
                          <w:position w:val="0"/>
                          <w:sz w:val="44"/>
                          <w:szCs w:val="48"/>
                          <w:highlight w:val="none"/>
                          <w:u w:val="none"/>
                          <w:effect w:val="none"/>
                          <w:bdr w:val="nil"/>
                          <w:shd w:val="clear" w:color="auto" w:fill="auto"/>
                          <w:vertAlign w:val="baseline"/>
                          <w:rtl w:val="0"/>
                          <w:cs w:val="0"/>
                          <w:lang w:val="pt-BR" w:bidi="ar-SA"/>
                        </w:rPr>
                      </w:pPr>
                      <w:r w:rsidRPr="00565ACD">
                        <w:rPr>
                          <w:rFonts w:ascii="Arial-BoldMT" w:eastAsia="Times New Roman" w:hAnsi="Arial-BoldMT" w:cs="Arial-BoldMT"/>
                          <w:b/>
                          <w:bCs/>
                          <w:i w:val="0"/>
                          <w:iCs w:val="0"/>
                          <w:caps w:val="0"/>
                          <w:smallCaps w:val="0"/>
                          <w:strike w:val="0"/>
                          <w:dstrike w:val="0"/>
                          <w:outline w:val="0"/>
                          <w:shadow w:val="0"/>
                          <w:emboss w:val="0"/>
                          <w:imprint w:val="0"/>
                          <w:noProof w:val="0"/>
                          <w:vanish w:val="0"/>
                          <w:color w:val="0054A1"/>
                          <w:spacing w:val="0"/>
                          <w:w w:val="100"/>
                          <w:kern w:val="0"/>
                          <w:position w:val="0"/>
                          <w:sz w:val="44"/>
                          <w:szCs w:val="48"/>
                          <w:highlight w:val="none"/>
                          <w:u w:val="none"/>
                          <w:effect w:val="none"/>
                          <w:bdr w:val="nil"/>
                          <w:shd w:val="clear" w:color="auto" w:fill="auto"/>
                          <w:vertAlign w:val="baseline"/>
                          <w:rtl w:val="0"/>
                          <w:cs w:val="0"/>
                          <w:lang w:val="pt-BR" w:eastAsia="pt-BR" w:bidi="ar-SA"/>
                        </w:rPr>
                        <w:t>Contábeis</w:t>
                      </w:r>
                    </w:p>
                    <w:p w:rsidR="0019046E" w:rsidRPr="00565ACD" w:rsidP="0019046E">
                      <w:pPr>
                        <w:keepNext w:val="0"/>
                        <w:keepLines w:val="0"/>
                        <w:pageBreakBefore w:val="0"/>
                        <w:widowControl/>
                        <w:suppressLineNumbers w:val="0"/>
                        <w:pBdr>
                          <w:top w:val="nil"/>
                          <w:left w:val="nil"/>
                          <w:bottom w:val="nil"/>
                          <w:right w:val="nil"/>
                          <w:between w:val="nil"/>
                          <w:bar w:val="nil"/>
                        </w:pBdr>
                        <w:shd w:val="clear" w:color="auto" w:fill="auto"/>
                        <w:suppressAutoHyphens w:val="0"/>
                        <w:bidi w:val="0"/>
                        <w:spacing w:before="120" w:beforeAutospacing="0" w:after="0" w:afterAutospacing="0" w:line="276" w:lineRule="auto"/>
                        <w:ind w:left="0" w:right="0" w:firstLine="0"/>
                        <w:contextualSpacing w:val="0"/>
                        <w:jc w:val="left"/>
                        <w:outlineLvl w:val="9"/>
                        <w:rPr>
                          <w:rFonts w:ascii="Arial-BoldMT" w:hAnsi="Arial-BoldMT" w:cs="Arial-BoldMT"/>
                          <w:b/>
                          <w:bCs/>
                          <w:i w:val="0"/>
                          <w:iCs w:val="0"/>
                          <w:caps w:val="0"/>
                          <w:smallCaps w:val="0"/>
                          <w:strike w:val="0"/>
                          <w:dstrike w:val="0"/>
                          <w:outline w:val="0"/>
                          <w:shadow w:val="0"/>
                          <w:emboss w:val="0"/>
                          <w:imprint w:val="0"/>
                          <w:noProof w:val="0"/>
                          <w:vanish w:val="0"/>
                          <w:color w:val="0054A1"/>
                          <w:spacing w:val="0"/>
                          <w:w w:val="100"/>
                          <w:kern w:val="0"/>
                          <w:position w:val="0"/>
                          <w:sz w:val="44"/>
                          <w:szCs w:val="48"/>
                          <w:highlight w:val="none"/>
                          <w:u w:val="none"/>
                          <w:effect w:val="none"/>
                          <w:bdr w:val="nil"/>
                          <w:shd w:val="clear" w:color="auto" w:fill="auto"/>
                          <w:vertAlign w:val="baseline"/>
                          <w:rtl w:val="0"/>
                          <w:cs w:val="0"/>
                          <w:lang w:val="pt-BR" w:bidi="ar-SA"/>
                        </w:rPr>
                      </w:pPr>
                      <w:r>
                        <w:rPr>
                          <w:rFonts w:ascii="Arial-BoldMT" w:eastAsia="Times New Roman" w:hAnsi="Arial-BoldMT" w:cs="Arial-BoldMT"/>
                          <w:b/>
                          <w:bCs/>
                          <w:i w:val="0"/>
                          <w:iCs w:val="0"/>
                          <w:caps w:val="0"/>
                          <w:smallCaps w:val="0"/>
                          <w:strike w:val="0"/>
                          <w:dstrike w:val="0"/>
                          <w:outline w:val="0"/>
                          <w:shadow w:val="0"/>
                          <w:emboss w:val="0"/>
                          <w:imprint w:val="0"/>
                          <w:noProof w:val="0"/>
                          <w:vanish w:val="0"/>
                          <w:color w:val="0054A1"/>
                          <w:spacing w:val="0"/>
                          <w:w w:val="100"/>
                          <w:kern w:val="0"/>
                          <w:position w:val="0"/>
                          <w:sz w:val="44"/>
                          <w:szCs w:val="48"/>
                          <w:highlight w:val="none"/>
                          <w:u w:val="none"/>
                          <w:effect w:val="none"/>
                          <w:bdr w:val="nil"/>
                          <w:shd w:val="clear" w:color="auto" w:fill="auto"/>
                          <w:vertAlign w:val="baseline"/>
                          <w:rtl w:val="0"/>
                          <w:cs w:val="0"/>
                          <w:lang w:val="pt-BR" w:eastAsia="pt-BR" w:bidi="ar-SA"/>
                        </w:rPr>
                        <w:t>Exercício 2019</w:t>
                      </w:r>
                    </w:p>
                  </w:txbxContent>
                </v:textbox>
              </v:shape>
            </w:pict>
          </mc:Fallback>
        </mc:AlternateContent>
      </w:r>
      <w:r w:rsidRPr="001C6A4C">
        <w:rPr>
          <w:noProof/>
          <w:bdr w:val="nil"/>
        </w:rPr>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660800" cy="10692000"/>
            <wp:effectExtent l="0" t="0" r="0" b="0"/>
            <wp:wrapNone/>
            <wp:docPr id="6" name="ImagemRetatoFu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659900" name="FundoRetratoCapa.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60800" cy="10692000"/>
                    </a:xfrm>
                    <a:prstGeom prst="rect">
                      <a:avLst/>
                    </a:prstGeom>
                  </pic:spPr>
                </pic:pic>
              </a:graphicData>
            </a:graphic>
            <wp14:sizeRelH relativeFrom="margin">
              <wp14:pctWidth>0</wp14:pctWidth>
            </wp14:sizeRelH>
            <wp14:sizeRelV relativeFrom="margin">
              <wp14:pctHeight>0</wp14:pctHeight>
            </wp14:sizeRelV>
          </wp:anchor>
        </w:drawing>
      </w:r>
      <w:r w:rsidRPr="001C6A4C">
        <w:rPr>
          <w:noProof/>
          <w:bdr w:val="nil"/>
        </w:rPr>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7696200" cy="10691495"/>
            <wp:effectExtent l="0" t="0" r="0" b="0"/>
            <wp:wrapNone/>
            <wp:docPr id="24" name="ImagemRetratoMar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111745"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696200" cy="10691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B7815" w:rsidRPr="00FB7815" w:rsidRDefault="00A82039" w:rsidP="00FB7815">
      <w:pPr>
        <w:pStyle w:val="Normal00"/>
        <w:keepLines/>
        <w:pageBreakBefore/>
        <w:pBdr>
          <w:top w:val="nil"/>
          <w:left w:val="nil"/>
          <w:bottom w:val="nil"/>
          <w:right w:val="nil"/>
          <w:between w:val="nil"/>
          <w:bar w:val="nil"/>
        </w:pBdr>
        <w:spacing w:after="0"/>
        <w:jc w:val="both"/>
        <w:rPr>
          <w:rFonts w:ascii="Arial" w:eastAsia="Times New Roman" w:hAnsi="Arial" w:cs="Arial"/>
          <w:sz w:val="18"/>
          <w:szCs w:val="18"/>
          <w:bdr w:val="nil"/>
        </w:rPr>
      </w:pPr>
      <w:r w:rsidRPr="00FB7815">
        <w:rPr>
          <w:rFonts w:ascii="Arial" w:hAnsi="Arial" w:cs="Arial"/>
          <w:sz w:val="18"/>
          <w:szCs w:val="18"/>
          <w:bdr w:val="nil"/>
        </w:rPr>
        <w:lastRenderedPageBreak/>
        <w:t>Senhores Acionistas,</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sz w:val="18"/>
          <w:szCs w:val="18"/>
          <w:bdr w:val="nil"/>
        </w:rPr>
      </w:pPr>
      <w:r w:rsidRPr="00FB7815">
        <w:rPr>
          <w:rFonts w:ascii="Arial" w:hAnsi="Arial" w:cs="Arial"/>
          <w:sz w:val="18"/>
          <w:szCs w:val="18"/>
          <w:bdr w:val="nil"/>
        </w:rPr>
        <w:t>Apresentamos o Relatório da Administração e as Demonstrações Contábeis da Ativos S.A</w:t>
      </w:r>
      <w:r w:rsidR="00163922">
        <w:rPr>
          <w:rFonts w:ascii="Arial" w:hAnsi="Arial" w:cs="Arial"/>
          <w:sz w:val="18"/>
          <w:szCs w:val="18"/>
          <w:bdr w:val="nil"/>
        </w:rPr>
        <w:t>.</w:t>
      </w:r>
      <w:r w:rsidRPr="00FB7815">
        <w:rPr>
          <w:rFonts w:ascii="Arial" w:hAnsi="Arial" w:cs="Arial"/>
          <w:sz w:val="18"/>
          <w:szCs w:val="18"/>
          <w:bdr w:val="nil"/>
        </w:rPr>
        <w:t xml:space="preserve"> Securitizadora de Créditos Financeiros relativos ao exercício encerrado em 31 de dezembro de 2019, acompanhados da manifestação do Conselho de Administração, parecer do Conselho Fiscal e os relatórios do Comitê de Auditoria e dos Auditores Independentes.</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sz w:val="18"/>
          <w:szCs w:val="18"/>
          <w:bdr w:val="nil"/>
        </w:rPr>
      </w:pPr>
      <w:r w:rsidRPr="00FB7815">
        <w:rPr>
          <w:rFonts w:ascii="Arial" w:hAnsi="Arial" w:cs="Arial"/>
          <w:sz w:val="18"/>
          <w:szCs w:val="18"/>
          <w:bdr w:val="nil"/>
        </w:rPr>
        <w:t>O resultado alcançado no exercício foi compatível com o montante e o perfil das carteiras de crédito em cobrança.</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
          <w:sz w:val="18"/>
          <w:szCs w:val="18"/>
          <w:bdr w:val="nil"/>
        </w:rPr>
      </w:pPr>
      <w:r w:rsidRPr="00FB7815">
        <w:rPr>
          <w:rFonts w:ascii="Arial" w:hAnsi="Arial" w:cs="Arial"/>
          <w:b/>
          <w:sz w:val="18"/>
          <w:szCs w:val="18"/>
          <w:bdr w:val="nil"/>
        </w:rPr>
        <w:t>DESCRIÇÃO DO NEGÓCIO</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r w:rsidRPr="00FB7815">
        <w:rPr>
          <w:rFonts w:ascii="Arial" w:hAnsi="Arial" w:cs="Arial"/>
          <w:bCs/>
          <w:sz w:val="18"/>
          <w:szCs w:val="18"/>
          <w:bdr w:val="nil"/>
        </w:rPr>
        <w:t>A Ativos S.A. tem por objeto a aquisição de créditos oriundos de operações praticadas por bancos múltiplos, bancos comerciais, bancos de investimentos, sociedades de créditos imobiliários, sociedades de arrendamento mercantil, sociedades de crédito, financiamento e investimento, associações de poupança e empréstimo, caixas econômicas e companhias hipotecárias, realizando a gestão dos respectivos créditos e podendo, ainda, participar de outras sociedades.</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r w:rsidRPr="00FB7815">
        <w:rPr>
          <w:rFonts w:ascii="Arial" w:hAnsi="Arial" w:cs="Arial"/>
          <w:bCs/>
          <w:sz w:val="18"/>
          <w:szCs w:val="18"/>
          <w:bdr w:val="nil"/>
        </w:rPr>
        <w:t xml:space="preserve">A </w:t>
      </w:r>
      <w:r w:rsidRPr="00FB7815">
        <w:rPr>
          <w:rFonts w:ascii="Arial" w:hAnsi="Arial" w:cs="Arial"/>
          <w:bCs/>
          <w:i/>
          <w:iCs/>
          <w:sz w:val="18"/>
          <w:szCs w:val="18"/>
          <w:bdr w:val="nil"/>
        </w:rPr>
        <w:t>expertise</w:t>
      </w:r>
      <w:r w:rsidRPr="00FB7815">
        <w:rPr>
          <w:rFonts w:ascii="Arial" w:hAnsi="Arial" w:cs="Arial"/>
          <w:bCs/>
          <w:sz w:val="18"/>
          <w:szCs w:val="18"/>
          <w:bdr w:val="nil"/>
        </w:rPr>
        <w:t xml:space="preserve"> da empresa é a cobrança eficaz na recuperação de créditos adquiridos de terceiros, em especial </w:t>
      </w:r>
      <w:r w:rsidR="00891193">
        <w:rPr>
          <w:rFonts w:ascii="Arial" w:hAnsi="Arial" w:cs="Arial"/>
          <w:bCs/>
          <w:sz w:val="18"/>
          <w:szCs w:val="18"/>
          <w:bdr w:val="nil"/>
        </w:rPr>
        <w:t>os</w:t>
      </w:r>
      <w:r w:rsidRPr="00FB7815">
        <w:rPr>
          <w:rFonts w:ascii="Arial" w:hAnsi="Arial" w:cs="Arial"/>
          <w:bCs/>
          <w:sz w:val="18"/>
          <w:szCs w:val="18"/>
          <w:bdr w:val="nil"/>
        </w:rPr>
        <w:t xml:space="preserve"> baixados em perdas de Instituições Financeiras. A eficácia da Companhia provém, dentre outras razões, de uma estrutura de custos (pessoal e infraestrutura) enxuta, agilidade na tomada de decisão, especialização no desenvolvimento de estratégias de cobrança e gestão de canais de atendimento para o nicho de mercado em que atua.</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
          <w:sz w:val="18"/>
          <w:szCs w:val="18"/>
          <w:bdr w:val="nil"/>
        </w:rPr>
      </w:pPr>
      <w:r w:rsidRPr="00FB7815">
        <w:rPr>
          <w:rFonts w:ascii="Arial" w:hAnsi="Arial" w:cs="Arial"/>
          <w:b/>
          <w:sz w:val="18"/>
          <w:szCs w:val="18"/>
          <w:bdr w:val="nil"/>
        </w:rPr>
        <w:t>DESEMPENHO ECONÔMICO-FINANCEIRO</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sz w:val="18"/>
          <w:szCs w:val="18"/>
          <w:bdr w:val="nil"/>
        </w:rPr>
      </w:pPr>
      <w:r w:rsidRPr="00FB7815">
        <w:rPr>
          <w:rFonts w:ascii="Arial" w:hAnsi="Arial" w:cs="Arial"/>
          <w:sz w:val="18"/>
          <w:szCs w:val="18"/>
          <w:bdr w:val="nil"/>
        </w:rPr>
        <w:t>O volume de operações recebida</w:t>
      </w:r>
      <w:r w:rsidR="00891193">
        <w:rPr>
          <w:rFonts w:ascii="Arial" w:hAnsi="Arial" w:cs="Arial"/>
          <w:sz w:val="18"/>
          <w:szCs w:val="18"/>
          <w:bdr w:val="nil"/>
        </w:rPr>
        <w:t>s de janeiro a dezembro de 2019</w:t>
      </w:r>
      <w:r>
        <w:rPr>
          <w:rFonts w:ascii="Arial" w:hAnsi="Arial" w:cs="Arial"/>
          <w:sz w:val="18"/>
          <w:szCs w:val="18"/>
          <w:bdr w:val="nil"/>
        </w:rPr>
        <w:t xml:space="preserve"> propiciaram receita operacional líquida</w:t>
      </w:r>
      <w:r w:rsidRPr="00FB7815">
        <w:rPr>
          <w:rFonts w:ascii="Arial" w:hAnsi="Arial" w:cs="Arial"/>
          <w:sz w:val="18"/>
          <w:szCs w:val="18"/>
          <w:bdr w:val="nil"/>
        </w:rPr>
        <w:t xml:space="preserve"> no valor de R$ </w:t>
      </w:r>
      <w:r>
        <w:rPr>
          <w:rFonts w:ascii="Arial" w:hAnsi="Arial" w:cs="Arial"/>
          <w:sz w:val="18"/>
          <w:szCs w:val="18"/>
          <w:bdr w:val="nil"/>
        </w:rPr>
        <w:t>750.308 mil. Esse resultado é 33</w:t>
      </w:r>
      <w:r w:rsidRPr="00FB7815">
        <w:rPr>
          <w:rFonts w:ascii="Arial" w:hAnsi="Arial" w:cs="Arial"/>
          <w:sz w:val="18"/>
          <w:szCs w:val="18"/>
          <w:bdr w:val="nil"/>
        </w:rPr>
        <w:t>% maior que no ano anterior, sendo o maior volume já alcançado pela Companhia em um exercício.</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sz w:val="18"/>
          <w:szCs w:val="18"/>
          <w:bdr w:val="nil"/>
        </w:rPr>
      </w:pPr>
      <w:r w:rsidRPr="00FB7815">
        <w:rPr>
          <w:rFonts w:ascii="Arial" w:hAnsi="Arial" w:cs="Arial"/>
          <w:sz w:val="18"/>
          <w:szCs w:val="18"/>
          <w:bdr w:val="nil"/>
        </w:rPr>
        <w:t xml:space="preserve">Encerramos o ano com lucro líquido de R$ 210.068 mil, aumento de R$ 76.410 mil se comparado a 2018. O retorno sobre patrimônio líquido (RSPL) foi de 23%, frente a 15% do ano anterior. Esse resultado foi possível devido aperfeiçoamento das estratégias de abordagem aos clientes, investimentos em tecnologia para melhoria do atendimento, em especial nos canais digitais, e </w:t>
      </w:r>
      <w:r w:rsidR="00891193">
        <w:rPr>
          <w:rFonts w:ascii="Arial" w:hAnsi="Arial" w:cs="Arial"/>
          <w:sz w:val="18"/>
          <w:szCs w:val="18"/>
          <w:bdr w:val="nil"/>
        </w:rPr>
        <w:t>acompanhamento</w:t>
      </w:r>
      <w:r w:rsidRPr="00FB7815">
        <w:rPr>
          <w:rFonts w:ascii="Arial" w:hAnsi="Arial" w:cs="Arial"/>
          <w:sz w:val="18"/>
          <w:szCs w:val="18"/>
          <w:bdr w:val="nil"/>
        </w:rPr>
        <w:t xml:space="preserve"> de despesas administrativas, que aumentaram 6% em relação a 2018.</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
          <w:sz w:val="18"/>
          <w:szCs w:val="18"/>
          <w:bdr w:val="nil"/>
        </w:rPr>
      </w:pPr>
      <w:r w:rsidRPr="00FB7815">
        <w:rPr>
          <w:rFonts w:ascii="Arial" w:hAnsi="Arial" w:cs="Arial"/>
          <w:b/>
          <w:sz w:val="18"/>
          <w:szCs w:val="18"/>
          <w:bdr w:val="nil"/>
        </w:rPr>
        <w:t>ESTRUTURA DE CUSTOS</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sz w:val="18"/>
          <w:szCs w:val="18"/>
          <w:bdr w:val="nil"/>
        </w:rPr>
      </w:pPr>
      <w:r w:rsidRPr="00FB7815">
        <w:rPr>
          <w:rFonts w:ascii="Arial" w:hAnsi="Arial" w:cs="Arial"/>
          <w:sz w:val="18"/>
          <w:szCs w:val="18"/>
          <w:bdr w:val="nil"/>
        </w:rPr>
        <w:t xml:space="preserve">Os custos da empresa foram da ordem de 74,5% sobre as receitas, compostos por 70,4% de custos variáveis e 4,1% de custos fixos. No encerramento do balanço, os custos variáveis foram da ordem de 94,5% dos custos totais. </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sz w:val="18"/>
          <w:szCs w:val="18"/>
          <w:bdr w:val="nil"/>
        </w:rPr>
      </w:pPr>
      <w:r w:rsidRPr="00FB7815">
        <w:rPr>
          <w:rFonts w:ascii="Arial" w:hAnsi="Arial" w:cs="Arial"/>
          <w:sz w:val="18"/>
          <w:szCs w:val="18"/>
          <w:bdr w:val="nil"/>
        </w:rPr>
        <w:t>A Diretoria Executiva prima pela administração rigorosa dos custos, com o objetivo de mantê-los em patamares compatíveis com as boas práticas de gestão, com os resultados esperados e em sintonia com as práticas do Conglomerado Banco do Brasil.</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
          <w:bCs/>
          <w:sz w:val="18"/>
          <w:szCs w:val="18"/>
          <w:bdr w:val="nil"/>
        </w:rPr>
      </w:pPr>
      <w:r w:rsidRPr="00FB7815">
        <w:rPr>
          <w:rFonts w:ascii="Arial" w:hAnsi="Arial" w:cs="Arial"/>
          <w:b/>
          <w:bCs/>
          <w:sz w:val="18"/>
          <w:szCs w:val="18"/>
          <w:bdr w:val="nil"/>
        </w:rPr>
        <w:t>DESEMPENHO DOS NEGÓCIOS</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r w:rsidRPr="00FB7815">
        <w:rPr>
          <w:rFonts w:ascii="Arial" w:hAnsi="Arial" w:cs="Arial"/>
          <w:bCs/>
          <w:sz w:val="18"/>
          <w:szCs w:val="18"/>
          <w:bdr w:val="nil"/>
        </w:rPr>
        <w:t xml:space="preserve">Nos últimos anos a Ativos S.A. vem investindo em projetos que possibilitem aumento da </w:t>
      </w:r>
      <w:r w:rsidR="00891193">
        <w:rPr>
          <w:rFonts w:ascii="Arial" w:hAnsi="Arial" w:cs="Arial"/>
          <w:bCs/>
          <w:sz w:val="18"/>
          <w:szCs w:val="18"/>
          <w:bdr w:val="nil"/>
        </w:rPr>
        <w:t xml:space="preserve">produtividade, alavancagem do </w:t>
      </w:r>
      <w:r w:rsidRPr="00FB7815">
        <w:rPr>
          <w:rFonts w:ascii="Arial" w:hAnsi="Arial" w:cs="Arial"/>
          <w:bCs/>
          <w:sz w:val="18"/>
          <w:szCs w:val="18"/>
          <w:bdr w:val="nil"/>
        </w:rPr>
        <w:t>nível de inteligência analítica e melhoria na ges</w:t>
      </w:r>
      <w:r w:rsidR="00891193">
        <w:rPr>
          <w:rFonts w:ascii="Arial" w:hAnsi="Arial" w:cs="Arial"/>
          <w:bCs/>
          <w:sz w:val="18"/>
          <w:szCs w:val="18"/>
          <w:bdr w:val="nil"/>
        </w:rPr>
        <w:t>tão das estratégias de cobrança, dos canais disponíveis e da performance dos prestadores de serviço.</w:t>
      </w:r>
      <w:r w:rsidRPr="00FB7815">
        <w:rPr>
          <w:rFonts w:ascii="Arial" w:hAnsi="Arial" w:cs="Arial"/>
          <w:bCs/>
          <w:sz w:val="18"/>
          <w:szCs w:val="18"/>
          <w:bdr w:val="nil"/>
        </w:rPr>
        <w:t xml:space="preserve"> Esse movimento visa também proporcionar condições de atualização e inovação no campo tecnológico e melhoria da experiência e relacionamento com os clientes. </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sz w:val="18"/>
          <w:szCs w:val="18"/>
          <w:bdr w:val="nil"/>
        </w:rPr>
      </w:pPr>
      <w:r>
        <w:rPr>
          <w:rFonts w:ascii="Arial" w:hAnsi="Arial" w:cs="Arial"/>
          <w:sz w:val="18"/>
          <w:szCs w:val="18"/>
          <w:bdr w:val="nil"/>
        </w:rPr>
        <w:t>Como resultado dos investimentos citados, de janeiro a dezembro foram realizados 1,9 milhão de acordos, o que representa aumento de 89% em relação ao ano anterior</w:t>
      </w:r>
      <w:r w:rsidRPr="00FB7815">
        <w:rPr>
          <w:rFonts w:ascii="Arial" w:hAnsi="Arial" w:cs="Arial"/>
          <w:sz w:val="18"/>
          <w:szCs w:val="18"/>
          <w:bdr w:val="nil"/>
        </w:rPr>
        <w:t>.</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r>
        <w:rPr>
          <w:rFonts w:ascii="Arial" w:hAnsi="Arial" w:cs="Arial"/>
          <w:bCs/>
          <w:sz w:val="18"/>
          <w:szCs w:val="18"/>
          <w:bdr w:val="nil"/>
        </w:rPr>
        <w:t>As empresas de cobrança, i</w:t>
      </w:r>
      <w:r w:rsidR="00E828C7" w:rsidRPr="00FB7815">
        <w:rPr>
          <w:rFonts w:ascii="Arial" w:hAnsi="Arial" w:cs="Arial"/>
          <w:bCs/>
          <w:sz w:val="18"/>
          <w:szCs w:val="18"/>
          <w:bdr w:val="nil"/>
        </w:rPr>
        <w:t>mpulsionad</w:t>
      </w:r>
      <w:r>
        <w:rPr>
          <w:rFonts w:ascii="Arial" w:hAnsi="Arial" w:cs="Arial"/>
          <w:bCs/>
          <w:sz w:val="18"/>
          <w:szCs w:val="18"/>
          <w:bdr w:val="nil"/>
        </w:rPr>
        <w:t>a</w:t>
      </w:r>
      <w:r w:rsidR="00E828C7" w:rsidRPr="00FB7815">
        <w:rPr>
          <w:rFonts w:ascii="Arial" w:hAnsi="Arial" w:cs="Arial"/>
          <w:bCs/>
          <w:sz w:val="18"/>
          <w:szCs w:val="18"/>
          <w:bdr w:val="nil"/>
        </w:rPr>
        <w:t xml:space="preserve">s pelo resultado de estudos e estratégias voltadas para a performance, também contribuíram para os bons resultados de 2019. Dentre as principais ações adotadas em relação às empresas de cobrança ressaltamos estudos para melhor definição da meta distribuída, adequações na remuneração e campanhas negociais. </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915D7C" w:rsidRDefault="00A82039"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r w:rsidRPr="00FB7815">
        <w:rPr>
          <w:rFonts w:ascii="Arial" w:hAnsi="Arial" w:cs="Arial"/>
          <w:bCs/>
          <w:sz w:val="18"/>
          <w:szCs w:val="18"/>
          <w:bdr w:val="nil"/>
        </w:rPr>
        <w:lastRenderedPageBreak/>
        <w:t xml:space="preserve">Visando melhorar a experiência do cliente e incrementar novos canais para negociação de dívidas, diversificamos o atendimento no âmbito digital por meio de parceria com empresas de mercado e participação em feirões </w:t>
      </w:r>
      <w:r w:rsidRPr="00FB7815">
        <w:rPr>
          <w:rFonts w:ascii="Arial" w:hAnsi="Arial" w:cs="Arial"/>
          <w:bCs/>
          <w:i/>
          <w:iCs/>
          <w:sz w:val="18"/>
          <w:szCs w:val="18"/>
          <w:bdr w:val="nil"/>
        </w:rPr>
        <w:t>online</w:t>
      </w:r>
      <w:r w:rsidRPr="00FB7815">
        <w:rPr>
          <w:rFonts w:ascii="Arial" w:hAnsi="Arial" w:cs="Arial"/>
          <w:bCs/>
          <w:sz w:val="18"/>
          <w:szCs w:val="18"/>
          <w:bdr w:val="nil"/>
        </w:rPr>
        <w:t>, gerando mais de 900 mil acordos.</w:t>
      </w:r>
    </w:p>
    <w:p w:rsidR="00915D7C" w:rsidRDefault="00915D7C"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
          <w:sz w:val="18"/>
          <w:szCs w:val="18"/>
          <w:bdr w:val="nil"/>
        </w:rPr>
      </w:pPr>
      <w:r w:rsidRPr="00FB7815">
        <w:rPr>
          <w:rFonts w:ascii="Arial" w:hAnsi="Arial" w:cs="Arial"/>
          <w:b/>
          <w:sz w:val="18"/>
          <w:szCs w:val="18"/>
          <w:bdr w:val="nil"/>
        </w:rPr>
        <w:t>AQUISIÇÕES DE CRÉDITOS</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r w:rsidRPr="00FB7815">
        <w:rPr>
          <w:rFonts w:ascii="Arial" w:hAnsi="Arial" w:cs="Arial"/>
          <w:bCs/>
          <w:sz w:val="18"/>
          <w:szCs w:val="18"/>
          <w:bdr w:val="nil"/>
        </w:rPr>
        <w:t>Foram adquiridas 13 novas carteiras, sendo 02 (duas) do Banco do Brasil e as demais de outros cedentes, aumentando o número de instituições parceiras.</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r>
        <w:rPr>
          <w:rFonts w:ascii="Arial" w:hAnsi="Arial" w:cs="Arial"/>
          <w:bCs/>
          <w:sz w:val="18"/>
          <w:szCs w:val="18"/>
          <w:bdr w:val="nil"/>
        </w:rPr>
        <w:t>Dentre as aquisições de créditos</w:t>
      </w:r>
      <w:r w:rsidR="00C831C0">
        <w:rPr>
          <w:rFonts w:ascii="Arial" w:hAnsi="Arial" w:cs="Arial"/>
          <w:bCs/>
          <w:sz w:val="18"/>
          <w:szCs w:val="18"/>
          <w:bdr w:val="nil"/>
        </w:rPr>
        <w:t xml:space="preserve"> no período, houve aquisição de </w:t>
      </w:r>
      <w:r w:rsidR="00E828C7" w:rsidRPr="00FB7815">
        <w:rPr>
          <w:rFonts w:ascii="Arial" w:hAnsi="Arial" w:cs="Arial"/>
          <w:bCs/>
          <w:sz w:val="18"/>
          <w:szCs w:val="18"/>
          <w:bdr w:val="nil"/>
        </w:rPr>
        <w:t>carteiras com créditos ajuizados pelos cedentes, aumentando o número de processos de polo ativo e a expectativa de maior faturamento nesta linha de atuação.</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FB7815" w:rsidRPr="00FB7815" w:rsidRDefault="00A82039" w:rsidP="00FB7815">
      <w:pPr>
        <w:pStyle w:val="Normal00"/>
        <w:keepLines/>
        <w:pBdr>
          <w:top w:val="nil"/>
          <w:left w:val="nil"/>
          <w:bottom w:val="nil"/>
          <w:right w:val="nil"/>
          <w:between w:val="nil"/>
          <w:bar w:val="nil"/>
        </w:pBdr>
        <w:spacing w:after="120"/>
        <w:jc w:val="both"/>
        <w:rPr>
          <w:rFonts w:ascii="Arial" w:hAnsi="Arial" w:cs="Arial"/>
          <w:b/>
          <w:sz w:val="18"/>
          <w:szCs w:val="18"/>
          <w:bdr w:val="nil"/>
        </w:rPr>
      </w:pPr>
      <w:r w:rsidRPr="00FB7815">
        <w:rPr>
          <w:rFonts w:ascii="Arial" w:hAnsi="Arial" w:cs="Arial"/>
          <w:b/>
          <w:sz w:val="18"/>
          <w:szCs w:val="18"/>
          <w:bdr w:val="nil"/>
        </w:rPr>
        <w:t>MELHORIA DA EXPERIÊNCIA DO CLIENTE</w:t>
      </w: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r w:rsidRPr="00FB7815">
        <w:rPr>
          <w:rFonts w:ascii="Arial" w:hAnsi="Arial" w:cs="Arial"/>
          <w:bCs/>
          <w:sz w:val="18"/>
          <w:szCs w:val="18"/>
          <w:bdr w:val="nil"/>
        </w:rPr>
        <w:t xml:space="preserve">Em 2019 desenvolvemos ações para </w:t>
      </w:r>
      <w:r w:rsidR="00C831C0">
        <w:rPr>
          <w:rFonts w:ascii="Arial" w:hAnsi="Arial" w:cs="Arial"/>
          <w:bCs/>
          <w:sz w:val="18"/>
          <w:szCs w:val="18"/>
          <w:bdr w:val="nil"/>
        </w:rPr>
        <w:t>aprimoramento do relacionamento com o</w:t>
      </w:r>
      <w:r w:rsidRPr="00FB7815">
        <w:rPr>
          <w:rFonts w:ascii="Arial" w:hAnsi="Arial" w:cs="Arial"/>
          <w:bCs/>
          <w:sz w:val="18"/>
          <w:szCs w:val="18"/>
          <w:bdr w:val="nil"/>
        </w:rPr>
        <w:t xml:space="preserve"> cliente. Assim, foi implementada a primeira e principal fase do </w:t>
      </w:r>
      <w:r w:rsidR="00C831C0">
        <w:rPr>
          <w:rFonts w:ascii="Arial" w:hAnsi="Arial" w:cs="Arial"/>
          <w:bCs/>
          <w:sz w:val="18"/>
          <w:szCs w:val="18"/>
          <w:bdr w:val="nil"/>
        </w:rPr>
        <w:t>P</w:t>
      </w:r>
      <w:r w:rsidRPr="00FB7815">
        <w:rPr>
          <w:rFonts w:ascii="Arial" w:hAnsi="Arial" w:cs="Arial"/>
          <w:bCs/>
          <w:sz w:val="18"/>
          <w:szCs w:val="18"/>
          <w:bdr w:val="nil"/>
        </w:rPr>
        <w:t xml:space="preserve">rojeto </w:t>
      </w:r>
      <w:r w:rsidRPr="00FB7815">
        <w:rPr>
          <w:rFonts w:ascii="Arial" w:hAnsi="Arial" w:cs="Arial"/>
          <w:bCs/>
          <w:i/>
          <w:iCs/>
          <w:sz w:val="18"/>
          <w:szCs w:val="18"/>
          <w:bdr w:val="nil"/>
        </w:rPr>
        <w:t>Ominichannel</w:t>
      </w:r>
      <w:r w:rsidRPr="00FB7815">
        <w:rPr>
          <w:rFonts w:ascii="Arial" w:hAnsi="Arial" w:cs="Arial"/>
          <w:bCs/>
          <w:sz w:val="18"/>
          <w:szCs w:val="18"/>
          <w:bdr w:val="nil"/>
        </w:rPr>
        <w:t xml:space="preserve">, que modernizou a solução de atendimento por voz utilizada em nosso </w:t>
      </w:r>
      <w:r w:rsidRPr="00FB7815">
        <w:rPr>
          <w:rFonts w:ascii="Arial" w:hAnsi="Arial" w:cs="Arial"/>
          <w:bCs/>
          <w:i/>
          <w:iCs/>
          <w:sz w:val="18"/>
          <w:szCs w:val="18"/>
          <w:bdr w:val="nil"/>
        </w:rPr>
        <w:t>Contac</w:t>
      </w:r>
      <w:r>
        <w:rPr>
          <w:rFonts w:ascii="Arial" w:hAnsi="Arial" w:cs="Arial"/>
          <w:bCs/>
          <w:i/>
          <w:iCs/>
          <w:sz w:val="18"/>
          <w:szCs w:val="18"/>
          <w:bdr w:val="nil"/>
        </w:rPr>
        <w:t>t</w:t>
      </w:r>
      <w:r w:rsidRPr="00FB7815">
        <w:rPr>
          <w:rFonts w:ascii="Arial" w:hAnsi="Arial" w:cs="Arial"/>
          <w:bCs/>
          <w:i/>
          <w:iCs/>
          <w:sz w:val="18"/>
          <w:szCs w:val="18"/>
          <w:bdr w:val="nil"/>
        </w:rPr>
        <w:t xml:space="preserve"> Center</w:t>
      </w:r>
      <w:r w:rsidRPr="00FB7815">
        <w:rPr>
          <w:rFonts w:ascii="Arial" w:hAnsi="Arial" w:cs="Arial"/>
          <w:bCs/>
          <w:sz w:val="18"/>
          <w:szCs w:val="18"/>
          <w:bdr w:val="nil"/>
        </w:rPr>
        <w:t xml:space="preserve">. A segunda e última fase tem previsão de conclusão em 2020. O objetivo do projeto é o gerenciamento de todas as interações com os clientes em um único sistema, o que possibilitará </w:t>
      </w:r>
      <w:r w:rsidR="009F3513">
        <w:rPr>
          <w:rFonts w:ascii="Arial" w:hAnsi="Arial" w:cs="Arial"/>
          <w:bCs/>
          <w:sz w:val="18"/>
          <w:szCs w:val="18"/>
          <w:bdr w:val="nil"/>
        </w:rPr>
        <w:t xml:space="preserve">uma melhor experiência de atendimento e </w:t>
      </w:r>
      <w:r w:rsidRPr="00FB7815">
        <w:rPr>
          <w:rFonts w:ascii="Arial" w:hAnsi="Arial" w:cs="Arial"/>
          <w:bCs/>
          <w:sz w:val="18"/>
          <w:szCs w:val="18"/>
          <w:bdr w:val="nil"/>
        </w:rPr>
        <w:t xml:space="preserve">o desenvolvimento de estratégias mais assertivas e adequadas ao perfil do cliente. </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r w:rsidRPr="00FB7815">
        <w:rPr>
          <w:rFonts w:ascii="Arial" w:hAnsi="Arial" w:cs="Arial"/>
          <w:bCs/>
          <w:sz w:val="18"/>
          <w:szCs w:val="18"/>
          <w:bdr w:val="nil"/>
        </w:rPr>
        <w:t xml:space="preserve">Outro destaque foi a substituição do </w:t>
      </w:r>
      <w:r w:rsidR="009F3513">
        <w:rPr>
          <w:rFonts w:ascii="Arial" w:hAnsi="Arial" w:cs="Arial"/>
          <w:bCs/>
          <w:sz w:val="18"/>
          <w:szCs w:val="18"/>
          <w:bdr w:val="nil"/>
        </w:rPr>
        <w:t>S</w:t>
      </w:r>
      <w:r w:rsidRPr="00FB7815">
        <w:rPr>
          <w:rFonts w:ascii="Arial" w:hAnsi="Arial" w:cs="Arial"/>
          <w:bCs/>
          <w:sz w:val="18"/>
          <w:szCs w:val="18"/>
          <w:bdr w:val="nil"/>
        </w:rPr>
        <w:t xml:space="preserve">istema RICO (Recuperação Integrada de Créditos </w:t>
      </w:r>
      <w:r w:rsidRPr="00FB7815">
        <w:rPr>
          <w:rFonts w:ascii="Arial" w:hAnsi="Arial" w:cs="Arial"/>
          <w:bCs/>
          <w:i/>
          <w:iCs/>
          <w:sz w:val="18"/>
          <w:szCs w:val="18"/>
          <w:bdr w:val="nil"/>
        </w:rPr>
        <w:t>Online)</w:t>
      </w:r>
      <w:r w:rsidRPr="00FB7815">
        <w:rPr>
          <w:rFonts w:ascii="Arial" w:hAnsi="Arial" w:cs="Arial"/>
          <w:bCs/>
          <w:sz w:val="18"/>
          <w:szCs w:val="18"/>
          <w:bdr w:val="nil"/>
        </w:rPr>
        <w:t xml:space="preserve"> pelo SOL </w:t>
      </w:r>
      <w:r>
        <w:rPr>
          <w:rFonts w:ascii="Arial" w:hAnsi="Arial" w:cs="Arial"/>
          <w:bCs/>
          <w:sz w:val="18"/>
          <w:szCs w:val="18"/>
          <w:bdr w:val="nil"/>
        </w:rPr>
        <w:t>(</w:t>
      </w:r>
      <w:r w:rsidRPr="00FB7815">
        <w:rPr>
          <w:rFonts w:ascii="Arial" w:hAnsi="Arial" w:cs="Arial"/>
          <w:bCs/>
          <w:sz w:val="18"/>
          <w:szCs w:val="18"/>
          <w:bdr w:val="nil"/>
        </w:rPr>
        <w:t xml:space="preserve">Solução de Dívidas </w:t>
      </w:r>
      <w:r w:rsidRPr="00FB7815">
        <w:rPr>
          <w:rFonts w:ascii="Arial" w:hAnsi="Arial" w:cs="Arial"/>
          <w:bCs/>
          <w:i/>
          <w:iCs/>
          <w:sz w:val="18"/>
          <w:szCs w:val="18"/>
          <w:bdr w:val="nil"/>
        </w:rPr>
        <w:t>Online</w:t>
      </w:r>
      <w:r>
        <w:rPr>
          <w:rFonts w:ascii="Arial" w:hAnsi="Arial" w:cs="Arial"/>
          <w:bCs/>
          <w:iCs/>
          <w:sz w:val="18"/>
          <w:szCs w:val="18"/>
          <w:bdr w:val="nil"/>
        </w:rPr>
        <w:t>)</w:t>
      </w:r>
      <w:r w:rsidRPr="003D2F0F">
        <w:rPr>
          <w:rFonts w:ascii="Arial" w:hAnsi="Arial" w:cs="Arial"/>
          <w:bCs/>
          <w:iCs/>
          <w:sz w:val="18"/>
          <w:szCs w:val="18"/>
          <w:bdr w:val="nil"/>
        </w:rPr>
        <w:t>,</w:t>
      </w:r>
      <w:r w:rsidRPr="00FB7815">
        <w:rPr>
          <w:rFonts w:ascii="Arial" w:hAnsi="Arial" w:cs="Arial"/>
          <w:bCs/>
          <w:sz w:val="18"/>
          <w:szCs w:val="18"/>
          <w:bdr w:val="nil"/>
        </w:rPr>
        <w:t xml:space="preserve"> sistema desenvolvido internamente para atender os canais de cobrança com maior capacidade de processamento e novas funcionalidades para melhorar </w:t>
      </w:r>
      <w:r w:rsidR="009F3513">
        <w:rPr>
          <w:rFonts w:ascii="Arial" w:hAnsi="Arial" w:cs="Arial"/>
          <w:bCs/>
          <w:sz w:val="18"/>
          <w:szCs w:val="18"/>
          <w:bdr w:val="nil"/>
        </w:rPr>
        <w:t>o processo</w:t>
      </w:r>
      <w:r w:rsidRPr="00FB7815">
        <w:rPr>
          <w:rFonts w:ascii="Arial" w:hAnsi="Arial" w:cs="Arial"/>
          <w:bCs/>
          <w:sz w:val="18"/>
          <w:szCs w:val="18"/>
          <w:bdr w:val="nil"/>
        </w:rPr>
        <w:t xml:space="preserve"> de atendimento aos clientes. </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r w:rsidRPr="00FB7815">
        <w:rPr>
          <w:rFonts w:ascii="Arial" w:hAnsi="Arial" w:cs="Arial"/>
          <w:bCs/>
          <w:sz w:val="18"/>
          <w:szCs w:val="18"/>
          <w:bdr w:val="nil"/>
        </w:rPr>
        <w:t xml:space="preserve">No âmbito das interações em redes sociais e em sites externos de demandas, como Consumidor.gov, por exemplo, foram realizadas ações específicas </w:t>
      </w:r>
      <w:r w:rsidR="00907522">
        <w:rPr>
          <w:rFonts w:ascii="Arial" w:hAnsi="Arial" w:cs="Arial"/>
          <w:bCs/>
          <w:sz w:val="18"/>
          <w:szCs w:val="18"/>
          <w:bdr w:val="nil"/>
        </w:rPr>
        <w:t xml:space="preserve">para </w:t>
      </w:r>
      <w:r w:rsidRPr="00FB7815">
        <w:rPr>
          <w:rFonts w:ascii="Arial" w:hAnsi="Arial" w:cs="Arial"/>
          <w:bCs/>
          <w:sz w:val="18"/>
          <w:szCs w:val="18"/>
          <w:bdr w:val="nil"/>
        </w:rPr>
        <w:t xml:space="preserve">solução </w:t>
      </w:r>
      <w:r w:rsidR="00907522">
        <w:rPr>
          <w:rFonts w:ascii="Arial" w:hAnsi="Arial" w:cs="Arial"/>
          <w:bCs/>
          <w:sz w:val="18"/>
          <w:szCs w:val="18"/>
          <w:bdr w:val="nil"/>
        </w:rPr>
        <w:t>d</w:t>
      </w:r>
      <w:r w:rsidRPr="00FB7815">
        <w:rPr>
          <w:rFonts w:ascii="Arial" w:hAnsi="Arial" w:cs="Arial"/>
          <w:bCs/>
          <w:sz w:val="18"/>
          <w:szCs w:val="18"/>
          <w:bdr w:val="nil"/>
        </w:rPr>
        <w:t>as ocorrências identificadas. Como consequência, verificou-se em 2019 evolução na avaliação da Ativos por parte de nossos clientes.</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FB7815" w:rsidRDefault="00A82039" w:rsidP="00FB7815">
      <w:pPr>
        <w:pStyle w:val="Normal00"/>
        <w:keepLines/>
        <w:pBdr>
          <w:top w:val="nil"/>
          <w:left w:val="nil"/>
          <w:bottom w:val="nil"/>
          <w:right w:val="nil"/>
          <w:between w:val="nil"/>
          <w:bar w:val="nil"/>
        </w:pBdr>
        <w:spacing w:after="0"/>
        <w:jc w:val="both"/>
        <w:rPr>
          <w:rFonts w:ascii="Arial" w:hAnsi="Arial" w:cs="Arial"/>
          <w:b/>
          <w:sz w:val="18"/>
          <w:szCs w:val="18"/>
          <w:bdr w:val="nil"/>
        </w:rPr>
      </w:pPr>
      <w:r w:rsidRPr="00FB7815">
        <w:rPr>
          <w:rFonts w:ascii="Arial" w:hAnsi="Arial" w:cs="Arial"/>
          <w:b/>
          <w:sz w:val="18"/>
          <w:szCs w:val="18"/>
          <w:bdr w:val="nil"/>
        </w:rPr>
        <w:t>OUTROS DESTAQUES DO PERÍODO</w:t>
      </w:r>
    </w:p>
    <w:p w:rsidR="00193724" w:rsidRPr="00FB7815" w:rsidRDefault="00193724" w:rsidP="00FB7815">
      <w:pPr>
        <w:pStyle w:val="Normal00"/>
        <w:keepLines/>
        <w:pBdr>
          <w:top w:val="nil"/>
          <w:left w:val="nil"/>
          <w:bottom w:val="nil"/>
          <w:right w:val="nil"/>
          <w:between w:val="nil"/>
          <w:bar w:val="nil"/>
        </w:pBdr>
        <w:spacing w:after="0"/>
        <w:jc w:val="both"/>
        <w:rPr>
          <w:rFonts w:ascii="Arial" w:hAnsi="Arial" w:cs="Arial"/>
          <w:b/>
          <w:sz w:val="18"/>
          <w:szCs w:val="18"/>
          <w:bdr w:val="nil"/>
        </w:rPr>
      </w:pPr>
    </w:p>
    <w:p w:rsidR="00FB7815" w:rsidRPr="00FB7815" w:rsidRDefault="00A82039" w:rsidP="004B7690">
      <w:pPr>
        <w:keepLines/>
        <w:widowControl w:val="0"/>
        <w:pBdr>
          <w:top w:val="nil"/>
          <w:left w:val="nil"/>
          <w:bottom w:val="nil"/>
          <w:right w:val="nil"/>
          <w:between w:val="nil"/>
          <w:bar w:val="nil"/>
        </w:pBdr>
        <w:spacing w:before="0" w:after="0"/>
        <w:rPr>
          <w:rFonts w:cs="Arial"/>
          <w:bCs/>
          <w:bdr w:val="nil"/>
          <w:lang w:eastAsia="en-US"/>
        </w:rPr>
      </w:pPr>
      <w:r w:rsidRPr="00FB7815">
        <w:rPr>
          <w:rFonts w:eastAsia="Calibri" w:cs="Arial"/>
          <w:bCs/>
          <w:bdr w:val="nil"/>
          <w:lang w:eastAsia="en-US"/>
        </w:rPr>
        <w:t>Em 2019, implementamos o Sistema ERP</w:t>
      </w:r>
      <w:r>
        <w:rPr>
          <w:rFonts w:eastAsia="Calibri" w:cs="Arial"/>
          <w:bCs/>
          <w:bdr w:val="nil"/>
          <w:lang w:eastAsia="en-US"/>
        </w:rPr>
        <w:t xml:space="preserve"> -</w:t>
      </w:r>
      <w:r w:rsidRPr="00FB7815">
        <w:rPr>
          <w:rFonts w:eastAsia="Calibri" w:cs="Arial"/>
          <w:bCs/>
          <w:bdr w:val="nil"/>
          <w:lang w:eastAsia="en-US"/>
        </w:rPr>
        <w:t xml:space="preserve"> </w:t>
      </w:r>
      <w:r w:rsidRPr="00FB7815">
        <w:rPr>
          <w:rFonts w:eastAsia="Calibri" w:cs="Arial"/>
          <w:bCs/>
          <w:i/>
          <w:iCs/>
          <w:bdr w:val="nil"/>
          <w:lang w:eastAsia="en-US"/>
        </w:rPr>
        <w:t>Enterprise Resource Planning</w:t>
      </w:r>
      <w:r w:rsidRPr="00FB7815">
        <w:rPr>
          <w:rFonts w:eastAsia="Calibri" w:cs="Arial"/>
          <w:bCs/>
          <w:bdr w:val="nil"/>
          <w:lang w:eastAsia="en-US"/>
        </w:rPr>
        <w:t xml:space="preserve"> (contabilidade, contratos, finanças, gestão de pessoas e orçamento), um </w:t>
      </w:r>
      <w:r w:rsidRPr="00FB7815">
        <w:rPr>
          <w:rFonts w:eastAsia="Calibri" w:cs="Arial"/>
          <w:bCs/>
          <w:i/>
          <w:iCs/>
          <w:bdr w:val="nil"/>
          <w:lang w:eastAsia="en-US"/>
        </w:rPr>
        <w:t>software</w:t>
      </w:r>
      <w:r w:rsidRPr="00FB7815">
        <w:rPr>
          <w:rFonts w:eastAsia="Calibri" w:cs="Arial"/>
          <w:bCs/>
          <w:bdr w:val="nil"/>
          <w:lang w:eastAsia="en-US"/>
        </w:rPr>
        <w:t xml:space="preserve"> integrado de gestão empresarial que reúne na mesma solução as informações gerenciais das áreas </w:t>
      </w:r>
      <w:r w:rsidR="00907522">
        <w:rPr>
          <w:rFonts w:eastAsia="Calibri" w:cs="Arial"/>
          <w:bCs/>
          <w:bdr w:val="nil"/>
          <w:lang w:eastAsia="en-US"/>
        </w:rPr>
        <w:t xml:space="preserve">internas </w:t>
      </w:r>
      <w:r w:rsidRPr="00FB7815">
        <w:rPr>
          <w:rFonts w:eastAsia="Calibri" w:cs="Arial"/>
          <w:bCs/>
          <w:bdr w:val="nil"/>
          <w:lang w:eastAsia="en-US"/>
        </w:rPr>
        <w:t>da Companhia</w:t>
      </w:r>
      <w:r>
        <w:rPr>
          <w:rFonts w:eastAsia="Calibri" w:cs="Arial"/>
          <w:bCs/>
          <w:bdr w:val="nil"/>
          <w:lang w:eastAsia="en-US"/>
        </w:rPr>
        <w:t>, automatizando fluxos e contribuindo para maior eficiência operacional</w:t>
      </w:r>
      <w:r w:rsidRPr="00FB7815">
        <w:rPr>
          <w:rFonts w:eastAsia="Calibri" w:cs="Arial"/>
          <w:bCs/>
          <w:bdr w:val="nil"/>
          <w:lang w:eastAsia="en-US"/>
        </w:rPr>
        <w:t>.</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FB7815" w:rsidRDefault="00A82039"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r w:rsidRPr="00FB7815">
        <w:rPr>
          <w:rFonts w:ascii="Arial" w:hAnsi="Arial" w:cs="Arial"/>
          <w:bCs/>
          <w:sz w:val="18"/>
          <w:szCs w:val="18"/>
          <w:bdr w:val="nil"/>
        </w:rPr>
        <w:t xml:space="preserve">Em setembro de 2019 foi implementada nova solução de produtividade e colaboração que agrega serviços de </w:t>
      </w:r>
      <w:r w:rsidRPr="00FB7815">
        <w:rPr>
          <w:rFonts w:ascii="Arial" w:hAnsi="Arial" w:cs="Arial"/>
          <w:bCs/>
          <w:i/>
          <w:iCs/>
          <w:sz w:val="18"/>
          <w:szCs w:val="18"/>
          <w:bdr w:val="nil"/>
        </w:rPr>
        <w:t>e-mail</w:t>
      </w:r>
      <w:r w:rsidRPr="00FB7815">
        <w:rPr>
          <w:rFonts w:ascii="Arial" w:hAnsi="Arial" w:cs="Arial"/>
          <w:bCs/>
          <w:sz w:val="18"/>
          <w:szCs w:val="18"/>
          <w:bdr w:val="nil"/>
        </w:rPr>
        <w:t xml:space="preserve">, </w:t>
      </w:r>
      <w:r w:rsidRPr="00FB7815">
        <w:rPr>
          <w:rFonts w:ascii="Arial" w:hAnsi="Arial" w:cs="Arial"/>
          <w:bCs/>
          <w:i/>
          <w:iCs/>
          <w:sz w:val="18"/>
          <w:szCs w:val="18"/>
          <w:bdr w:val="nil"/>
        </w:rPr>
        <w:t>chat</w:t>
      </w:r>
      <w:r w:rsidRPr="00FB7815">
        <w:rPr>
          <w:rFonts w:ascii="Arial" w:hAnsi="Arial" w:cs="Arial"/>
          <w:bCs/>
          <w:sz w:val="18"/>
          <w:szCs w:val="18"/>
          <w:bdr w:val="nil"/>
        </w:rPr>
        <w:t>, trabalho virtual em grupo, comunicação interna, dentre outros, trazendo modernidade ao ambiente de trabalho. A nova solução vem contribuindo para que a Companhia melhore a disseminação e troca de informações internas, além de tornar mais ágil a análise e tomada de decisões, inclusive por meio de acesso via dispositivos móveis.</w:t>
      </w:r>
    </w:p>
    <w:p w:rsidR="00907522" w:rsidRPr="00FB7815" w:rsidRDefault="00907522"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FB7815" w:rsidRDefault="00A82039"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r>
        <w:rPr>
          <w:rFonts w:ascii="Arial" w:hAnsi="Arial" w:cs="Arial"/>
          <w:bCs/>
          <w:sz w:val="18"/>
          <w:szCs w:val="18"/>
          <w:bdr w:val="nil"/>
        </w:rPr>
        <w:t xml:space="preserve">No quarto trimestre de 2019 concluímos a revisitação de nossa base </w:t>
      </w:r>
      <w:r w:rsidR="002C4CA3">
        <w:rPr>
          <w:rFonts w:ascii="Arial" w:hAnsi="Arial" w:cs="Arial"/>
          <w:bCs/>
          <w:sz w:val="18"/>
          <w:szCs w:val="18"/>
          <w:bdr w:val="nil"/>
        </w:rPr>
        <w:t xml:space="preserve">de </w:t>
      </w:r>
      <w:r>
        <w:rPr>
          <w:rFonts w:ascii="Arial" w:hAnsi="Arial" w:cs="Arial"/>
          <w:bCs/>
          <w:sz w:val="18"/>
          <w:szCs w:val="18"/>
          <w:bdr w:val="nil"/>
        </w:rPr>
        <w:t xml:space="preserve">operações adquiridas, unificando registros duplicados e assegurando a visão única por cliente. Esta medida otimiza processos internos, permite o aperfeiçoamento de estratégias com foco no cliente </w:t>
      </w:r>
      <w:r w:rsidR="002C4CA3">
        <w:rPr>
          <w:rFonts w:ascii="Arial" w:hAnsi="Arial" w:cs="Arial"/>
          <w:bCs/>
          <w:sz w:val="18"/>
          <w:szCs w:val="18"/>
          <w:bdr w:val="nil"/>
        </w:rPr>
        <w:t>(e não no produto), potencializa resultados e, principalmente, contribu</w:t>
      </w:r>
      <w:r w:rsidR="00163922">
        <w:rPr>
          <w:rFonts w:ascii="Arial" w:hAnsi="Arial" w:cs="Arial"/>
          <w:bCs/>
          <w:sz w:val="18"/>
          <w:szCs w:val="18"/>
          <w:bdr w:val="nil"/>
        </w:rPr>
        <w:t>i</w:t>
      </w:r>
      <w:r w:rsidR="002C4CA3">
        <w:rPr>
          <w:rFonts w:ascii="Arial" w:hAnsi="Arial" w:cs="Arial"/>
          <w:bCs/>
          <w:sz w:val="18"/>
          <w:szCs w:val="18"/>
          <w:bdr w:val="nil"/>
        </w:rPr>
        <w:t xml:space="preserve"> para aperfeiçoar a jornada do cliente, que recebe abordagem única para a solução de operações de diversos produtos ou origens.</w:t>
      </w:r>
    </w:p>
    <w:p w:rsidR="002C4CA3" w:rsidRDefault="002C4CA3"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2C4CA3" w:rsidRDefault="00A82039"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r>
        <w:rPr>
          <w:rFonts w:ascii="Arial" w:hAnsi="Arial" w:cs="Arial"/>
          <w:bCs/>
          <w:sz w:val="18"/>
          <w:szCs w:val="18"/>
          <w:bdr w:val="nil"/>
        </w:rPr>
        <w:t>A base unificada também permite maior gestão dos processos e facilita a adaptação da Companhia aos novos desafios da regulação que se apresentam, como o início de vigência da Lei Geral de Proteção de Dados (LGPD).</w:t>
      </w:r>
    </w:p>
    <w:p w:rsidR="002C4CA3" w:rsidRPr="00FB7815" w:rsidRDefault="002C4CA3"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r w:rsidRPr="00FB7815">
        <w:rPr>
          <w:rFonts w:ascii="Arial" w:hAnsi="Arial" w:cs="Arial"/>
          <w:bCs/>
          <w:sz w:val="18"/>
          <w:szCs w:val="18"/>
          <w:bdr w:val="nil"/>
        </w:rPr>
        <w:t xml:space="preserve">A Companhia também investiu na modernização do parque </w:t>
      </w:r>
      <w:r w:rsidR="00907522">
        <w:rPr>
          <w:rFonts w:ascii="Arial" w:hAnsi="Arial" w:cs="Arial"/>
          <w:bCs/>
          <w:sz w:val="18"/>
          <w:szCs w:val="18"/>
          <w:bdr w:val="nil"/>
        </w:rPr>
        <w:t>tecnológico, com aquisição de novos</w:t>
      </w:r>
      <w:r w:rsidRPr="00FB7815">
        <w:rPr>
          <w:rFonts w:ascii="Arial" w:hAnsi="Arial" w:cs="Arial"/>
          <w:bCs/>
          <w:sz w:val="18"/>
          <w:szCs w:val="18"/>
          <w:bdr w:val="nil"/>
        </w:rPr>
        <w:t xml:space="preserve"> servidores, impressoras, sistema de </w:t>
      </w:r>
      <w:r w:rsidRPr="00FB7815">
        <w:rPr>
          <w:rFonts w:ascii="Arial" w:hAnsi="Arial" w:cs="Arial"/>
          <w:bCs/>
          <w:i/>
          <w:iCs/>
          <w:sz w:val="18"/>
          <w:szCs w:val="18"/>
          <w:bdr w:val="nil"/>
        </w:rPr>
        <w:t>backup</w:t>
      </w:r>
      <w:r w:rsidRPr="00FB7815">
        <w:rPr>
          <w:rFonts w:ascii="Arial" w:hAnsi="Arial" w:cs="Arial"/>
          <w:bCs/>
          <w:sz w:val="18"/>
          <w:szCs w:val="18"/>
          <w:bdr w:val="nil"/>
        </w:rPr>
        <w:t xml:space="preserve"> e armazenamento, e realizou a migração e implantação de alta disponibilidade/contingência dos serviços de telefonia (0800 - receptivo e DDR - ativo) no </w:t>
      </w:r>
      <w:r w:rsidRPr="00FB7815">
        <w:rPr>
          <w:rFonts w:ascii="Arial" w:hAnsi="Arial" w:cs="Arial"/>
          <w:bCs/>
          <w:i/>
          <w:iCs/>
          <w:sz w:val="18"/>
          <w:szCs w:val="18"/>
          <w:bdr w:val="nil"/>
        </w:rPr>
        <w:t>Datacenter</w:t>
      </w:r>
      <w:r w:rsidRPr="00FB7815">
        <w:rPr>
          <w:rFonts w:ascii="Arial" w:hAnsi="Arial" w:cs="Arial"/>
          <w:bCs/>
          <w:sz w:val="18"/>
          <w:szCs w:val="18"/>
          <w:bdr w:val="nil"/>
        </w:rPr>
        <w:t xml:space="preserve"> </w:t>
      </w:r>
      <w:r w:rsidR="00907522">
        <w:rPr>
          <w:rFonts w:ascii="Arial" w:hAnsi="Arial" w:cs="Arial"/>
          <w:bCs/>
          <w:sz w:val="18"/>
          <w:szCs w:val="18"/>
          <w:bdr w:val="nil"/>
        </w:rPr>
        <w:t xml:space="preserve">contratado </w:t>
      </w:r>
      <w:r w:rsidRPr="00FB7815">
        <w:rPr>
          <w:rFonts w:ascii="Arial" w:hAnsi="Arial" w:cs="Arial"/>
          <w:bCs/>
          <w:sz w:val="18"/>
          <w:szCs w:val="18"/>
          <w:bdr w:val="nil"/>
        </w:rPr>
        <w:t xml:space="preserve">localizado em São Paulo (SP). </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r w:rsidRPr="00FB7815">
        <w:rPr>
          <w:rFonts w:ascii="Arial" w:hAnsi="Arial" w:cs="Arial"/>
          <w:bCs/>
          <w:sz w:val="18"/>
          <w:szCs w:val="18"/>
          <w:bdr w:val="nil"/>
        </w:rPr>
        <w:t xml:space="preserve">Para dar suporte aos investimentos e contratação de serviços, a Companhia possui área especializada em aquisições e contratações de serviços, resguardando a legalidade (Lei </w:t>
      </w:r>
      <w:r w:rsidR="002C4CA3">
        <w:rPr>
          <w:rFonts w:ascii="Arial" w:hAnsi="Arial" w:cs="Arial"/>
          <w:bCs/>
          <w:sz w:val="18"/>
          <w:szCs w:val="18"/>
          <w:bdr w:val="nil"/>
        </w:rPr>
        <w:t xml:space="preserve">nº </w:t>
      </w:r>
      <w:r w:rsidRPr="00FB7815">
        <w:rPr>
          <w:rFonts w:ascii="Arial" w:hAnsi="Arial" w:cs="Arial"/>
          <w:bCs/>
          <w:sz w:val="18"/>
          <w:szCs w:val="18"/>
          <w:bdr w:val="nil"/>
        </w:rPr>
        <w:t xml:space="preserve">13.303/16) alinhada aos objetivos estratégicos da empresa. Em 2019 foram realizados 37 processos de </w:t>
      </w:r>
      <w:r w:rsidR="002C4CA3">
        <w:rPr>
          <w:rFonts w:ascii="Arial" w:hAnsi="Arial" w:cs="Arial"/>
          <w:bCs/>
          <w:sz w:val="18"/>
          <w:szCs w:val="18"/>
          <w:bdr w:val="nil"/>
        </w:rPr>
        <w:t>aquisição/</w:t>
      </w:r>
      <w:r w:rsidRPr="00FB7815">
        <w:rPr>
          <w:rFonts w:ascii="Arial" w:hAnsi="Arial" w:cs="Arial"/>
          <w:bCs/>
          <w:sz w:val="18"/>
          <w:szCs w:val="18"/>
          <w:bdr w:val="nil"/>
        </w:rPr>
        <w:t>contratação e 114 alterações contratuais/renovações. Esta sistemática tem permitido à Companhia manter-se atualizada em relação as principais evoluções de seu mercado de atuação, além de gerar economia, considerando-se as pesquisas de preço (cotações) e os valores efetivamente contratados.</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
          <w:sz w:val="18"/>
          <w:szCs w:val="18"/>
          <w:bdr w:val="nil"/>
        </w:rPr>
      </w:pPr>
      <w:r w:rsidRPr="00FB7815">
        <w:rPr>
          <w:rFonts w:ascii="Arial" w:hAnsi="Arial" w:cs="Arial"/>
          <w:b/>
          <w:sz w:val="18"/>
          <w:szCs w:val="18"/>
          <w:bdr w:val="nil"/>
        </w:rPr>
        <w:t xml:space="preserve">RISCOS DA CARTEIRA </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
          <w:sz w:val="18"/>
          <w:szCs w:val="18"/>
          <w:bdr w:val="nil"/>
        </w:rPr>
      </w:pPr>
    </w:p>
    <w:p w:rsidR="00FB7815" w:rsidRPr="00FB7815" w:rsidRDefault="00A82039" w:rsidP="00FB7815">
      <w:pPr>
        <w:pStyle w:val="Normal00"/>
        <w:keepLines/>
        <w:pBdr>
          <w:top w:val="nil"/>
          <w:left w:val="nil"/>
          <w:bottom w:val="nil"/>
          <w:right w:val="nil"/>
          <w:between w:val="nil"/>
          <w:bar w:val="nil"/>
        </w:pBdr>
        <w:spacing w:after="120"/>
        <w:jc w:val="both"/>
        <w:rPr>
          <w:rFonts w:ascii="Arial" w:hAnsi="Arial" w:cs="Arial"/>
          <w:b/>
          <w:sz w:val="18"/>
          <w:szCs w:val="18"/>
          <w:bdr w:val="nil"/>
        </w:rPr>
      </w:pPr>
      <w:r w:rsidRPr="00FB7815">
        <w:rPr>
          <w:rFonts w:ascii="Arial" w:hAnsi="Arial" w:cs="Arial"/>
          <w:b/>
          <w:sz w:val="18"/>
          <w:szCs w:val="18"/>
          <w:bdr w:val="nil"/>
        </w:rPr>
        <w:t>PERDAS</w:t>
      </w: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strike/>
          <w:sz w:val="18"/>
          <w:szCs w:val="18"/>
          <w:bdr w:val="nil"/>
        </w:rPr>
      </w:pPr>
      <w:r w:rsidRPr="00FB7815">
        <w:rPr>
          <w:rFonts w:ascii="Arial" w:hAnsi="Arial" w:cs="Arial"/>
          <w:sz w:val="18"/>
          <w:szCs w:val="18"/>
          <w:bdr w:val="nil"/>
        </w:rPr>
        <w:t>Com base em</w:t>
      </w:r>
      <w:r w:rsidR="002C4CA3">
        <w:rPr>
          <w:rFonts w:ascii="Arial" w:hAnsi="Arial" w:cs="Arial"/>
          <w:sz w:val="18"/>
          <w:szCs w:val="18"/>
          <w:bdr w:val="nil"/>
        </w:rPr>
        <w:t xml:space="preserve"> metodologia específica com</w:t>
      </w:r>
      <w:r w:rsidRPr="00FB7815">
        <w:rPr>
          <w:rFonts w:ascii="Arial" w:hAnsi="Arial" w:cs="Arial"/>
          <w:sz w:val="18"/>
          <w:szCs w:val="18"/>
          <w:bdr w:val="nil"/>
        </w:rPr>
        <w:t xml:space="preserve"> critérios aprovados pela Diretoria Executiva que levam em consideração as características das carteiras adquiridas, tempo de cobrança, valor da aquisição e normas contábeis, foi baixado do ativo (Créditos Adquiridos) o valor de R$ 211.597 mil no ano. </w:t>
      </w:r>
    </w:p>
    <w:p w:rsidR="00FB7815" w:rsidRDefault="00FB7815" w:rsidP="00FB7815">
      <w:pPr>
        <w:pStyle w:val="Normal00"/>
        <w:keepLines/>
        <w:pBdr>
          <w:top w:val="nil"/>
          <w:left w:val="nil"/>
          <w:bottom w:val="nil"/>
          <w:right w:val="nil"/>
          <w:between w:val="nil"/>
          <w:bar w:val="nil"/>
        </w:pBdr>
        <w:spacing w:after="120"/>
        <w:jc w:val="both"/>
        <w:rPr>
          <w:rFonts w:ascii="Arial" w:hAnsi="Arial" w:cs="Arial"/>
          <w:b/>
          <w:sz w:val="18"/>
          <w:szCs w:val="18"/>
          <w:bdr w:val="nil"/>
        </w:rPr>
      </w:pPr>
      <w:bookmarkStart w:id="0" w:name="_Hlk29820889"/>
    </w:p>
    <w:p w:rsidR="00FB7815" w:rsidRPr="00FB7815" w:rsidRDefault="00A82039" w:rsidP="00FB7815">
      <w:pPr>
        <w:pStyle w:val="Normal00"/>
        <w:keepLines/>
        <w:pBdr>
          <w:top w:val="nil"/>
          <w:left w:val="nil"/>
          <w:bottom w:val="nil"/>
          <w:right w:val="nil"/>
          <w:between w:val="nil"/>
          <w:bar w:val="nil"/>
        </w:pBdr>
        <w:spacing w:after="120"/>
        <w:jc w:val="both"/>
        <w:rPr>
          <w:rFonts w:ascii="Arial" w:hAnsi="Arial" w:cs="Arial"/>
          <w:b/>
          <w:sz w:val="18"/>
          <w:szCs w:val="18"/>
          <w:bdr w:val="nil"/>
        </w:rPr>
      </w:pPr>
      <w:r w:rsidRPr="00FB7815">
        <w:rPr>
          <w:rFonts w:ascii="Arial" w:hAnsi="Arial" w:cs="Arial"/>
          <w:b/>
          <w:sz w:val="18"/>
          <w:szCs w:val="18"/>
          <w:bdr w:val="nil"/>
        </w:rPr>
        <w:t>PASSIVOS CONTINGENTES</w:t>
      </w: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sz w:val="18"/>
          <w:szCs w:val="18"/>
          <w:bdr w:val="nil"/>
        </w:rPr>
      </w:pPr>
      <w:r w:rsidRPr="00FB7815">
        <w:rPr>
          <w:rFonts w:ascii="Arial" w:hAnsi="Arial" w:cs="Arial"/>
          <w:sz w:val="18"/>
          <w:szCs w:val="18"/>
          <w:bdr w:val="nil"/>
        </w:rPr>
        <w:t>Considerando a posição de 31</w:t>
      </w:r>
      <w:r w:rsidR="00163922">
        <w:rPr>
          <w:rFonts w:ascii="Arial" w:hAnsi="Arial" w:cs="Arial"/>
          <w:sz w:val="18"/>
          <w:szCs w:val="18"/>
          <w:bdr w:val="nil"/>
        </w:rPr>
        <w:t>.</w:t>
      </w:r>
      <w:r w:rsidRPr="00FB7815">
        <w:rPr>
          <w:rFonts w:ascii="Arial" w:hAnsi="Arial" w:cs="Arial"/>
          <w:sz w:val="18"/>
          <w:szCs w:val="18"/>
          <w:bdr w:val="nil"/>
        </w:rPr>
        <w:t>12</w:t>
      </w:r>
      <w:r w:rsidR="00163922">
        <w:rPr>
          <w:rFonts w:ascii="Arial" w:hAnsi="Arial" w:cs="Arial"/>
          <w:sz w:val="18"/>
          <w:szCs w:val="18"/>
          <w:bdr w:val="nil"/>
        </w:rPr>
        <w:t>.</w:t>
      </w:r>
      <w:r w:rsidRPr="00FB7815">
        <w:rPr>
          <w:rFonts w:ascii="Arial" w:hAnsi="Arial" w:cs="Arial"/>
          <w:sz w:val="18"/>
          <w:szCs w:val="18"/>
          <w:bdr w:val="nil"/>
        </w:rPr>
        <w:t xml:space="preserve">2019, a </w:t>
      </w:r>
      <w:r w:rsidR="002C4CA3">
        <w:rPr>
          <w:rFonts w:ascii="Arial" w:hAnsi="Arial" w:cs="Arial"/>
          <w:sz w:val="18"/>
          <w:szCs w:val="18"/>
          <w:bdr w:val="nil"/>
        </w:rPr>
        <w:t>C</w:t>
      </w:r>
      <w:r w:rsidRPr="00FB7815">
        <w:rPr>
          <w:rFonts w:ascii="Arial" w:hAnsi="Arial" w:cs="Arial"/>
          <w:sz w:val="18"/>
          <w:szCs w:val="18"/>
          <w:bdr w:val="nil"/>
        </w:rPr>
        <w:t>ompanhia é parte em 1</w:t>
      </w:r>
      <w:r w:rsidR="002C4CA3">
        <w:rPr>
          <w:rFonts w:ascii="Arial" w:hAnsi="Arial" w:cs="Arial"/>
          <w:sz w:val="18"/>
          <w:szCs w:val="18"/>
          <w:bdr w:val="nil"/>
        </w:rPr>
        <w:t>2</w:t>
      </w:r>
      <w:r w:rsidRPr="00FB7815">
        <w:rPr>
          <w:rFonts w:ascii="Arial" w:hAnsi="Arial" w:cs="Arial"/>
          <w:sz w:val="18"/>
          <w:szCs w:val="18"/>
          <w:bdr w:val="nil"/>
        </w:rPr>
        <w:t>.</w:t>
      </w:r>
      <w:r w:rsidR="002C4CA3">
        <w:rPr>
          <w:rFonts w:ascii="Arial" w:hAnsi="Arial" w:cs="Arial"/>
          <w:sz w:val="18"/>
          <w:szCs w:val="18"/>
          <w:bdr w:val="nil"/>
        </w:rPr>
        <w:t>647</w:t>
      </w:r>
      <w:r w:rsidRPr="00FB7815">
        <w:rPr>
          <w:rFonts w:ascii="Arial" w:hAnsi="Arial" w:cs="Arial"/>
          <w:sz w:val="18"/>
          <w:szCs w:val="18"/>
          <w:bdr w:val="nil"/>
        </w:rPr>
        <w:t xml:space="preserve"> ações adversas nas esferas cíveis e trabalhistas, abrangendo todas as Unidades Federativas. </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sz w:val="18"/>
          <w:szCs w:val="18"/>
          <w:bdr w:val="nil"/>
        </w:rPr>
      </w:pPr>
      <w:r w:rsidRPr="00FB7815">
        <w:rPr>
          <w:rFonts w:ascii="Arial" w:hAnsi="Arial" w:cs="Arial"/>
          <w:sz w:val="18"/>
          <w:szCs w:val="18"/>
          <w:bdr w:val="nil"/>
        </w:rPr>
        <w:t>Os autores das ações correspondem a 0,0</w:t>
      </w:r>
      <w:r w:rsidR="002C4CA3">
        <w:rPr>
          <w:rFonts w:ascii="Arial" w:hAnsi="Arial" w:cs="Arial"/>
          <w:sz w:val="18"/>
          <w:szCs w:val="18"/>
          <w:bdr w:val="nil"/>
        </w:rPr>
        <w:t>5</w:t>
      </w:r>
      <w:r w:rsidRPr="00FB7815">
        <w:rPr>
          <w:rFonts w:ascii="Arial" w:hAnsi="Arial" w:cs="Arial"/>
          <w:sz w:val="18"/>
          <w:szCs w:val="18"/>
          <w:bdr w:val="nil"/>
        </w:rPr>
        <w:t>% de uma carteira composta por 24,8 milhões de clientes que já tiveram créditos adquiridos pela Ativos S.A.</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sz w:val="18"/>
          <w:szCs w:val="18"/>
          <w:bdr w:val="nil"/>
        </w:rPr>
      </w:pPr>
      <w:r w:rsidRPr="00FB7815">
        <w:rPr>
          <w:rFonts w:ascii="Arial" w:hAnsi="Arial" w:cs="Arial"/>
          <w:sz w:val="18"/>
          <w:szCs w:val="18"/>
          <w:bdr w:val="nil"/>
        </w:rPr>
        <w:t>As ações têm como principais causas de pedir a baixa de restrição em órgãos de proteção ao crédito, declaração de inexistência de débitos, indenização por danos morais e revisão de cláusulas contratuais.</w:t>
      </w: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sz w:val="18"/>
          <w:szCs w:val="18"/>
          <w:bdr w:val="nil"/>
        </w:rPr>
      </w:pPr>
      <w:r w:rsidRPr="00FB7815">
        <w:rPr>
          <w:rFonts w:ascii="Arial" w:hAnsi="Arial" w:cs="Arial"/>
          <w:sz w:val="18"/>
          <w:szCs w:val="18"/>
          <w:bdr w:val="nil"/>
        </w:rPr>
        <w:t xml:space="preserve"> </w:t>
      </w: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sz w:val="18"/>
          <w:szCs w:val="18"/>
          <w:bdr w:val="nil"/>
        </w:rPr>
      </w:pPr>
      <w:r>
        <w:rPr>
          <w:rFonts w:ascii="Arial" w:hAnsi="Arial" w:cs="Arial"/>
          <w:sz w:val="18"/>
          <w:szCs w:val="18"/>
          <w:bdr w:val="nil"/>
        </w:rPr>
        <w:t>Em 2019 foi feita a recalibragem do modelo de passivos contingentes, mantendo aderência à evolução</w:t>
      </w:r>
      <w:r w:rsidR="00E3286C">
        <w:rPr>
          <w:rFonts w:ascii="Arial" w:hAnsi="Arial" w:cs="Arial"/>
          <w:sz w:val="18"/>
          <w:szCs w:val="18"/>
          <w:bdr w:val="nil"/>
        </w:rPr>
        <w:t xml:space="preserve"> dos negócios e em alinhamento com o comportamento observado em relaç</w:t>
      </w:r>
      <w:r w:rsidR="00163922">
        <w:rPr>
          <w:rFonts w:ascii="Arial" w:hAnsi="Arial" w:cs="Arial"/>
          <w:sz w:val="18"/>
          <w:szCs w:val="18"/>
          <w:bdr w:val="nil"/>
        </w:rPr>
        <w:t>ão</w:t>
      </w:r>
      <w:r w:rsidR="00E3286C">
        <w:rPr>
          <w:rFonts w:ascii="Arial" w:hAnsi="Arial" w:cs="Arial"/>
          <w:sz w:val="18"/>
          <w:szCs w:val="18"/>
          <w:bdr w:val="nil"/>
        </w:rPr>
        <w:t xml:space="preserve"> às decisões judiciais. </w:t>
      </w:r>
      <w:r w:rsidR="00E828C7" w:rsidRPr="00FB7815">
        <w:rPr>
          <w:rFonts w:ascii="Arial" w:hAnsi="Arial" w:cs="Arial"/>
          <w:sz w:val="18"/>
          <w:szCs w:val="18"/>
          <w:bdr w:val="nil"/>
        </w:rPr>
        <w:t>As provisões para passivos contingentes no exercício foram maiores que as reversões em R$ 6.250 mil, totalizando valor acumulado de provisão em 31.12.2019 de R$ 29.527 mil. No período sob consideração, foram pagos R$ 24.521 mil referentes a demandas judiciais.</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sz w:val="18"/>
          <w:szCs w:val="18"/>
          <w:bdr w:val="nil"/>
        </w:rPr>
      </w:pPr>
      <w:r w:rsidRPr="00FB7815">
        <w:rPr>
          <w:rFonts w:ascii="Arial" w:hAnsi="Arial" w:cs="Arial"/>
          <w:sz w:val="18"/>
          <w:szCs w:val="18"/>
          <w:bdr w:val="nil"/>
        </w:rPr>
        <w:t xml:space="preserve">A Ativos S.A. tem como postura, independentemente da natureza dos pleitos judiciais e das medidas adotadas na defesa de seus direitos, contatar os devedores com vistas a desenvolver negociação para solução da </w:t>
      </w:r>
      <w:r w:rsidR="00E3286C">
        <w:rPr>
          <w:rFonts w:ascii="Arial" w:hAnsi="Arial" w:cs="Arial"/>
          <w:sz w:val="18"/>
          <w:szCs w:val="18"/>
          <w:bdr w:val="nil"/>
        </w:rPr>
        <w:t>demanda</w:t>
      </w:r>
      <w:r w:rsidRPr="00FB7815">
        <w:rPr>
          <w:rFonts w:ascii="Arial" w:hAnsi="Arial" w:cs="Arial"/>
          <w:sz w:val="18"/>
          <w:szCs w:val="18"/>
          <w:bdr w:val="nil"/>
        </w:rPr>
        <w:t>.</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FB7815" w:rsidRDefault="00A82039"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r w:rsidRPr="00FB7815">
        <w:rPr>
          <w:rFonts w:ascii="Arial" w:hAnsi="Arial" w:cs="Arial"/>
          <w:bCs/>
          <w:sz w:val="18"/>
          <w:szCs w:val="18"/>
          <w:bdr w:val="nil"/>
        </w:rPr>
        <w:t>Em 2019, foi implementada a campanha “</w:t>
      </w:r>
      <w:r w:rsidRPr="00FB7815">
        <w:rPr>
          <w:rFonts w:ascii="Arial" w:hAnsi="Arial" w:cs="Arial"/>
          <w:bCs/>
          <w:i/>
          <w:iCs/>
          <w:sz w:val="18"/>
          <w:szCs w:val="18"/>
          <w:bdr w:val="nil"/>
        </w:rPr>
        <w:t>ConciliATIVOS</w:t>
      </w:r>
      <w:r w:rsidRPr="00FB7815">
        <w:rPr>
          <w:rFonts w:ascii="Arial" w:hAnsi="Arial" w:cs="Arial"/>
          <w:bCs/>
          <w:sz w:val="18"/>
          <w:szCs w:val="18"/>
          <w:bdr w:val="nil"/>
        </w:rPr>
        <w:t>”, com foco em ações do polo passivo e com o objetivo de incentivar a realização de acordos amigáveis em processos pré-selecionados pela Ativos</w:t>
      </w:r>
      <w:r w:rsidR="00163922">
        <w:rPr>
          <w:rFonts w:ascii="Arial" w:hAnsi="Arial" w:cs="Arial"/>
          <w:bCs/>
          <w:sz w:val="18"/>
          <w:szCs w:val="18"/>
          <w:bdr w:val="nil"/>
        </w:rPr>
        <w:t xml:space="preserve"> S.A.</w:t>
      </w:r>
      <w:r w:rsidRPr="00FB7815">
        <w:rPr>
          <w:rFonts w:ascii="Arial" w:hAnsi="Arial" w:cs="Arial"/>
          <w:bCs/>
          <w:sz w:val="18"/>
          <w:szCs w:val="18"/>
          <w:bdr w:val="nil"/>
        </w:rPr>
        <w:t xml:space="preserve">, o que gerou pagamento de indenizações em patamar inferior à média das condenações </w:t>
      </w:r>
      <w:r w:rsidR="00E3286C">
        <w:rPr>
          <w:rFonts w:ascii="Arial" w:hAnsi="Arial" w:cs="Arial"/>
          <w:bCs/>
          <w:sz w:val="18"/>
          <w:szCs w:val="18"/>
          <w:bdr w:val="nil"/>
        </w:rPr>
        <w:t>anteriores</w:t>
      </w:r>
      <w:r w:rsidRPr="00FB7815">
        <w:rPr>
          <w:rFonts w:ascii="Arial" w:hAnsi="Arial" w:cs="Arial"/>
          <w:bCs/>
          <w:sz w:val="18"/>
          <w:szCs w:val="18"/>
          <w:bdr w:val="nil"/>
        </w:rPr>
        <w:t xml:space="preserve"> (redução de despesas), melhorando a </w:t>
      </w:r>
      <w:r w:rsidR="00E3286C">
        <w:rPr>
          <w:rFonts w:ascii="Arial" w:hAnsi="Arial" w:cs="Arial"/>
          <w:bCs/>
          <w:sz w:val="18"/>
          <w:szCs w:val="18"/>
          <w:bdr w:val="nil"/>
        </w:rPr>
        <w:t>percepção</w:t>
      </w:r>
      <w:r w:rsidRPr="00FB7815">
        <w:rPr>
          <w:rFonts w:ascii="Arial" w:hAnsi="Arial" w:cs="Arial"/>
          <w:bCs/>
          <w:sz w:val="18"/>
          <w:szCs w:val="18"/>
          <w:bdr w:val="nil"/>
        </w:rPr>
        <w:t xml:space="preserve"> do cliente na medida em que promove</w:t>
      </w:r>
      <w:r w:rsidR="00E3286C">
        <w:rPr>
          <w:rFonts w:ascii="Arial" w:hAnsi="Arial" w:cs="Arial"/>
          <w:bCs/>
          <w:sz w:val="18"/>
          <w:szCs w:val="18"/>
          <w:bdr w:val="nil"/>
        </w:rPr>
        <w:t>u</w:t>
      </w:r>
      <w:r w:rsidRPr="00FB7815">
        <w:rPr>
          <w:rFonts w:ascii="Arial" w:hAnsi="Arial" w:cs="Arial"/>
          <w:bCs/>
          <w:sz w:val="18"/>
          <w:szCs w:val="18"/>
          <w:bdr w:val="nil"/>
        </w:rPr>
        <w:t xml:space="preserve"> soluções mais rápidas, além de contribuir para desafogar o </w:t>
      </w:r>
      <w:r w:rsidR="00E3286C">
        <w:rPr>
          <w:rFonts w:ascii="Arial" w:hAnsi="Arial" w:cs="Arial"/>
          <w:bCs/>
          <w:sz w:val="18"/>
          <w:szCs w:val="18"/>
          <w:bdr w:val="nil"/>
        </w:rPr>
        <w:t>S</w:t>
      </w:r>
      <w:r w:rsidRPr="00FB7815">
        <w:rPr>
          <w:rFonts w:ascii="Arial" w:hAnsi="Arial" w:cs="Arial"/>
          <w:bCs/>
          <w:sz w:val="18"/>
          <w:szCs w:val="18"/>
          <w:bdr w:val="nil"/>
        </w:rPr>
        <w:t xml:space="preserve">istema </w:t>
      </w:r>
      <w:r w:rsidR="00E3286C">
        <w:rPr>
          <w:rFonts w:ascii="Arial" w:hAnsi="Arial" w:cs="Arial"/>
          <w:bCs/>
          <w:sz w:val="18"/>
          <w:szCs w:val="18"/>
          <w:bdr w:val="nil"/>
        </w:rPr>
        <w:t>J</w:t>
      </w:r>
      <w:r w:rsidRPr="00FB7815">
        <w:rPr>
          <w:rFonts w:ascii="Arial" w:hAnsi="Arial" w:cs="Arial"/>
          <w:bCs/>
          <w:sz w:val="18"/>
          <w:szCs w:val="18"/>
          <w:bdr w:val="nil"/>
        </w:rPr>
        <w:t xml:space="preserve">udiciário </w:t>
      </w:r>
      <w:r w:rsidR="00E3286C">
        <w:rPr>
          <w:rFonts w:ascii="Arial" w:hAnsi="Arial" w:cs="Arial"/>
          <w:bCs/>
          <w:sz w:val="18"/>
          <w:szCs w:val="18"/>
          <w:bdr w:val="nil"/>
        </w:rPr>
        <w:t>B</w:t>
      </w:r>
      <w:r w:rsidRPr="00FB7815">
        <w:rPr>
          <w:rFonts w:ascii="Arial" w:hAnsi="Arial" w:cs="Arial"/>
          <w:bCs/>
          <w:sz w:val="18"/>
          <w:szCs w:val="18"/>
          <w:bdr w:val="nil"/>
        </w:rPr>
        <w:t>rasileiro</w:t>
      </w:r>
      <w:r>
        <w:rPr>
          <w:rFonts w:ascii="Arial" w:hAnsi="Arial" w:cs="Arial"/>
          <w:bCs/>
          <w:sz w:val="18"/>
          <w:szCs w:val="18"/>
          <w:bdr w:val="nil"/>
        </w:rPr>
        <w:t>.</w:t>
      </w:r>
    </w:p>
    <w:p w:rsidR="00FE7742" w:rsidRPr="00FB7815" w:rsidRDefault="00FE7742"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r w:rsidRPr="00FB7815">
        <w:rPr>
          <w:rFonts w:ascii="Arial" w:hAnsi="Arial" w:cs="Arial"/>
          <w:bCs/>
          <w:sz w:val="18"/>
          <w:szCs w:val="18"/>
          <w:bdr w:val="nil"/>
        </w:rPr>
        <w:t>Ainda com foco em ações do polo passivo, realizamos campanha de</w:t>
      </w:r>
      <w:r w:rsidR="00E3286C">
        <w:rPr>
          <w:rFonts w:ascii="Arial" w:hAnsi="Arial" w:cs="Arial"/>
          <w:bCs/>
          <w:sz w:val="18"/>
          <w:szCs w:val="18"/>
          <w:bdr w:val="nil"/>
        </w:rPr>
        <w:t xml:space="preserve"> incentivo de</w:t>
      </w:r>
      <w:r w:rsidRPr="00FB7815">
        <w:rPr>
          <w:rFonts w:ascii="Arial" w:hAnsi="Arial" w:cs="Arial"/>
          <w:bCs/>
          <w:sz w:val="18"/>
          <w:szCs w:val="18"/>
          <w:bdr w:val="nil"/>
        </w:rPr>
        <w:t xml:space="preserve"> acordos denominada “</w:t>
      </w:r>
      <w:r w:rsidRPr="00FB7815">
        <w:rPr>
          <w:rFonts w:ascii="Arial" w:hAnsi="Arial" w:cs="Arial"/>
          <w:bCs/>
          <w:i/>
          <w:iCs/>
          <w:sz w:val="18"/>
          <w:szCs w:val="18"/>
          <w:bdr w:val="nil"/>
        </w:rPr>
        <w:t>PagMenos</w:t>
      </w:r>
      <w:r w:rsidRPr="00FB7815">
        <w:rPr>
          <w:rFonts w:ascii="Arial" w:hAnsi="Arial" w:cs="Arial"/>
          <w:bCs/>
          <w:sz w:val="18"/>
          <w:szCs w:val="18"/>
          <w:bdr w:val="nil"/>
        </w:rPr>
        <w:t>”, onde obtivemos redução de despesas com condenações, moderação na interposição de recursos e promoção de práticas proativas, com a formalização de acordos em valores inferiores à média histórica fixada em sentença.</w:t>
      </w:r>
    </w:p>
    <w:bookmarkEnd w:id="0"/>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
          <w:sz w:val="18"/>
          <w:szCs w:val="18"/>
          <w:bdr w:val="nil"/>
        </w:rPr>
      </w:pPr>
    </w:p>
    <w:p w:rsidR="00FB7815" w:rsidRPr="00FB7815" w:rsidRDefault="00A82039" w:rsidP="00FB7815">
      <w:pPr>
        <w:pStyle w:val="Normal00"/>
        <w:keepLines/>
        <w:pBdr>
          <w:top w:val="nil"/>
          <w:left w:val="nil"/>
          <w:bottom w:val="nil"/>
          <w:right w:val="nil"/>
          <w:between w:val="nil"/>
          <w:bar w:val="nil"/>
        </w:pBdr>
        <w:spacing w:after="120"/>
        <w:jc w:val="both"/>
        <w:rPr>
          <w:rFonts w:ascii="Arial" w:hAnsi="Arial" w:cs="Arial"/>
          <w:b/>
          <w:sz w:val="18"/>
          <w:szCs w:val="18"/>
          <w:bdr w:val="nil"/>
        </w:rPr>
      </w:pPr>
      <w:r w:rsidRPr="00FB7815">
        <w:rPr>
          <w:rFonts w:ascii="Arial" w:hAnsi="Arial" w:cs="Arial"/>
          <w:b/>
          <w:sz w:val="18"/>
          <w:szCs w:val="18"/>
          <w:bdr w:val="nil"/>
        </w:rPr>
        <w:t>CAPITAL HUMANO</w:t>
      </w: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r w:rsidRPr="00FB7815">
        <w:rPr>
          <w:rFonts w:ascii="Arial" w:hAnsi="Arial" w:cs="Arial"/>
          <w:bCs/>
          <w:sz w:val="18"/>
          <w:szCs w:val="18"/>
          <w:bdr w:val="nil"/>
        </w:rPr>
        <w:t>O investimento em Capital Humano com a valorização das pessoas e do conhecimento é uma</w:t>
      </w:r>
      <w:r w:rsidR="00E3286C">
        <w:rPr>
          <w:rFonts w:ascii="Arial" w:hAnsi="Arial" w:cs="Arial"/>
          <w:bCs/>
          <w:sz w:val="18"/>
          <w:szCs w:val="18"/>
          <w:bdr w:val="nil"/>
        </w:rPr>
        <w:t xml:space="preserve"> das diretrizes que norteiam a Companhia</w:t>
      </w:r>
      <w:r w:rsidRPr="00FB7815">
        <w:rPr>
          <w:rFonts w:ascii="Arial" w:hAnsi="Arial" w:cs="Arial"/>
          <w:bCs/>
          <w:sz w:val="18"/>
          <w:szCs w:val="18"/>
          <w:bdr w:val="nil"/>
        </w:rPr>
        <w:t xml:space="preserve"> para atingimento dos objetivos estratégicos. Em 2019 </w:t>
      </w:r>
      <w:r w:rsidR="00E3286C">
        <w:rPr>
          <w:rFonts w:ascii="Arial" w:hAnsi="Arial" w:cs="Arial"/>
          <w:bCs/>
          <w:sz w:val="18"/>
          <w:szCs w:val="18"/>
          <w:bdr w:val="nil"/>
        </w:rPr>
        <w:t>contratamos</w:t>
      </w:r>
      <w:r w:rsidRPr="00FB7815">
        <w:rPr>
          <w:rFonts w:ascii="Arial" w:hAnsi="Arial" w:cs="Arial"/>
          <w:bCs/>
          <w:sz w:val="18"/>
          <w:szCs w:val="18"/>
          <w:bdr w:val="nil"/>
        </w:rPr>
        <w:t xml:space="preserve"> pesquisa independente para avaliação do clima organizacional, o que nos permitiu melhor identificar oportunidades de melhoria.</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r w:rsidRPr="00FB7815">
        <w:rPr>
          <w:rFonts w:ascii="Arial" w:hAnsi="Arial" w:cs="Arial"/>
          <w:bCs/>
          <w:sz w:val="18"/>
          <w:szCs w:val="18"/>
          <w:bdr w:val="nil"/>
        </w:rPr>
        <w:t xml:space="preserve">Com base na análise do resultado da pesquisa, passamos a incluir assessores nas reuniões semanais de acompanhamento de resultados (ingresso de caixa), nas reuniões quinzenais do Comitê de Gestores (Comge) e nas reuniões bimensais do Comitê Interno de Gestão de Riscos (Coris). Também disponibilizamos canal direto de comunicação com a diretoria, </w:t>
      </w:r>
      <w:r w:rsidR="00E3286C">
        <w:rPr>
          <w:rFonts w:ascii="Arial" w:hAnsi="Arial" w:cs="Arial"/>
          <w:bCs/>
          <w:sz w:val="18"/>
          <w:szCs w:val="18"/>
          <w:bdr w:val="nil"/>
        </w:rPr>
        <w:t>recebendo</w:t>
      </w:r>
      <w:r w:rsidRPr="00FB7815">
        <w:rPr>
          <w:rFonts w:ascii="Arial" w:hAnsi="Arial" w:cs="Arial"/>
          <w:bCs/>
          <w:sz w:val="18"/>
          <w:szCs w:val="18"/>
          <w:bdr w:val="nil"/>
        </w:rPr>
        <w:t xml:space="preserve"> sugestões/comentários, inclusive de forma anônima.</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r w:rsidRPr="00FB7815">
        <w:rPr>
          <w:rFonts w:ascii="Arial" w:hAnsi="Arial" w:cs="Arial"/>
          <w:bCs/>
          <w:sz w:val="18"/>
          <w:szCs w:val="18"/>
          <w:bdr w:val="nil"/>
        </w:rPr>
        <w:t>Passamos a realizar reuniões periódicas com todo o corpo funcional apresentando a evolução dos negócios, o acompanhamento de metas/indicadores e esclarecendo dúvidas apresentadas diretamente pelos próprios colaboradores. Isso melhorou a comunicação interna, trazendo maior alinhamento do grupo de colaboradores às decisões, diretrizes e objetivos da Companhia, o que também refletiu nos resultados alcançados.</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r w:rsidRPr="00FB7815">
        <w:rPr>
          <w:rFonts w:ascii="Arial" w:hAnsi="Arial" w:cs="Arial"/>
          <w:bCs/>
          <w:sz w:val="18"/>
          <w:szCs w:val="18"/>
          <w:bdr w:val="nil"/>
        </w:rPr>
        <w:t xml:space="preserve">A </w:t>
      </w:r>
      <w:r w:rsidR="00E3286C">
        <w:rPr>
          <w:rFonts w:ascii="Arial" w:hAnsi="Arial" w:cs="Arial"/>
          <w:bCs/>
          <w:sz w:val="18"/>
          <w:szCs w:val="18"/>
          <w:bdr w:val="nil"/>
        </w:rPr>
        <w:t>Companhia</w:t>
      </w:r>
      <w:r w:rsidRPr="00FB7815">
        <w:rPr>
          <w:rFonts w:ascii="Arial" w:hAnsi="Arial" w:cs="Arial"/>
          <w:bCs/>
          <w:sz w:val="18"/>
          <w:szCs w:val="18"/>
          <w:bdr w:val="nil"/>
        </w:rPr>
        <w:t xml:space="preserve"> manteve-se atuante na capacitação e treinamento do seu corpo funcional e promoveu o alinhamento das competências gerenciais e técnicas dos funcionários às melhores práticas de gestão e de atualização</w:t>
      </w:r>
      <w:r>
        <w:rPr>
          <w:rFonts w:ascii="Arial" w:hAnsi="Arial" w:cs="Arial"/>
          <w:bCs/>
          <w:sz w:val="18"/>
          <w:szCs w:val="18"/>
          <w:bdr w:val="nil"/>
        </w:rPr>
        <w:t xml:space="preserve"> à evolução</w:t>
      </w:r>
      <w:r w:rsidRPr="00FB7815">
        <w:rPr>
          <w:rFonts w:ascii="Arial" w:hAnsi="Arial" w:cs="Arial"/>
          <w:bCs/>
          <w:sz w:val="18"/>
          <w:szCs w:val="18"/>
          <w:bdr w:val="nil"/>
        </w:rPr>
        <w:t xml:space="preserve"> tecnológica.</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FB7815" w:rsidRPr="00FB7815" w:rsidRDefault="00A82039" w:rsidP="00FB7815">
      <w:pPr>
        <w:pStyle w:val="Normal00"/>
        <w:keepLines/>
        <w:pBdr>
          <w:top w:val="nil"/>
          <w:left w:val="nil"/>
          <w:bottom w:val="nil"/>
          <w:right w:val="nil"/>
          <w:between w:val="nil"/>
          <w:bar w:val="nil"/>
        </w:pBdr>
        <w:spacing w:after="120"/>
        <w:jc w:val="both"/>
        <w:rPr>
          <w:rFonts w:ascii="Arial" w:hAnsi="Arial" w:cs="Arial"/>
          <w:b/>
          <w:sz w:val="18"/>
          <w:szCs w:val="18"/>
          <w:bdr w:val="nil"/>
        </w:rPr>
      </w:pPr>
      <w:r w:rsidRPr="00FB7815">
        <w:rPr>
          <w:rFonts w:ascii="Arial" w:hAnsi="Arial" w:cs="Arial"/>
          <w:b/>
          <w:sz w:val="18"/>
          <w:szCs w:val="18"/>
          <w:bdr w:val="nil"/>
        </w:rPr>
        <w:t>GOVERNANÇA CORPORATIVA</w:t>
      </w: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r w:rsidRPr="00FB7815">
        <w:rPr>
          <w:rFonts w:ascii="Arial" w:hAnsi="Arial" w:cs="Arial"/>
          <w:bCs/>
          <w:sz w:val="18"/>
          <w:szCs w:val="18"/>
          <w:bdr w:val="nil"/>
        </w:rPr>
        <w:t>A Ativos S.A., alinhada às melhores práticas de governança, implantou o seu Portal de Governança Corporativa, permitindo maior eficiência e tempestividade na comunicação junto a Alta Administração sobre assuntos relativos as pautas dos Cons</w:t>
      </w:r>
      <w:r>
        <w:rPr>
          <w:rFonts w:ascii="Arial" w:hAnsi="Arial" w:cs="Arial"/>
          <w:bCs/>
          <w:sz w:val="18"/>
          <w:szCs w:val="18"/>
          <w:bdr w:val="nil"/>
        </w:rPr>
        <w:t>elho de Administração, Conselho</w:t>
      </w:r>
      <w:r w:rsidRPr="00FB7815">
        <w:rPr>
          <w:rFonts w:ascii="Arial" w:hAnsi="Arial" w:cs="Arial"/>
          <w:bCs/>
          <w:sz w:val="18"/>
          <w:szCs w:val="18"/>
          <w:bdr w:val="nil"/>
        </w:rPr>
        <w:t xml:space="preserve"> Fiscal e da Diretoria Executiva.</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r w:rsidRPr="00FB7815">
        <w:rPr>
          <w:rFonts w:ascii="Arial" w:hAnsi="Arial" w:cs="Arial"/>
          <w:bCs/>
          <w:sz w:val="18"/>
          <w:szCs w:val="18"/>
          <w:bdr w:val="nil"/>
        </w:rPr>
        <w:t>Como melhores práticas de governança corporativa, a Companhia adota como padrão a sistemática de decisões colegiadas, além de contar com estrutura de órgãos como Comitê de Auditoria (Coaud), Comitê de Elegibilidade, Comitê de Riscos e de Capital (Coris) e Auditoria Interna, todos compartilhando estrutura do Controlador (Banco do Brasil). A Companhia conta ainda com Conselho de Administração (CA), composto por 7 (sete) membros, e Conselho Fiscal (CF), composto por 3 (três) membros.</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FB7815" w:rsidRPr="00FB7815" w:rsidRDefault="00A82039" w:rsidP="00FB7815">
      <w:pPr>
        <w:pStyle w:val="Normal00"/>
        <w:keepLines/>
        <w:pBdr>
          <w:top w:val="nil"/>
          <w:left w:val="nil"/>
          <w:bottom w:val="nil"/>
          <w:right w:val="nil"/>
          <w:between w:val="nil"/>
          <w:bar w:val="nil"/>
        </w:pBdr>
        <w:spacing w:after="120"/>
        <w:jc w:val="both"/>
        <w:rPr>
          <w:rFonts w:ascii="Arial" w:hAnsi="Arial" w:cs="Arial"/>
          <w:b/>
          <w:sz w:val="18"/>
          <w:szCs w:val="18"/>
          <w:bdr w:val="nil"/>
        </w:rPr>
      </w:pPr>
      <w:r w:rsidRPr="00FB7815">
        <w:rPr>
          <w:rFonts w:ascii="Arial" w:hAnsi="Arial" w:cs="Arial"/>
          <w:b/>
          <w:sz w:val="18"/>
          <w:szCs w:val="18"/>
          <w:bdr w:val="nil"/>
        </w:rPr>
        <w:t xml:space="preserve">GESTÃO DE RISCOS, CONTROLES INTERNOS E </w:t>
      </w:r>
      <w:r w:rsidRPr="00FB7815">
        <w:rPr>
          <w:rFonts w:ascii="Arial" w:hAnsi="Arial" w:cs="Arial"/>
          <w:b/>
          <w:i/>
          <w:iCs/>
          <w:sz w:val="18"/>
          <w:szCs w:val="18"/>
          <w:bdr w:val="nil"/>
        </w:rPr>
        <w:t>COMPLIANCE</w:t>
      </w: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r w:rsidRPr="00FB7815">
        <w:rPr>
          <w:rFonts w:ascii="Arial" w:hAnsi="Arial" w:cs="Arial"/>
          <w:bCs/>
          <w:sz w:val="18"/>
          <w:szCs w:val="18"/>
          <w:bdr w:val="nil"/>
        </w:rPr>
        <w:t xml:space="preserve">A estrutura de gestão de riscos da </w:t>
      </w:r>
      <w:r>
        <w:rPr>
          <w:rFonts w:ascii="Arial" w:hAnsi="Arial" w:cs="Arial"/>
          <w:bCs/>
          <w:sz w:val="18"/>
          <w:szCs w:val="18"/>
          <w:bdr w:val="nil"/>
        </w:rPr>
        <w:t>C</w:t>
      </w:r>
      <w:r w:rsidRPr="00FB7815">
        <w:rPr>
          <w:rFonts w:ascii="Arial" w:hAnsi="Arial" w:cs="Arial"/>
          <w:bCs/>
          <w:sz w:val="18"/>
          <w:szCs w:val="18"/>
          <w:bdr w:val="nil"/>
        </w:rPr>
        <w:t xml:space="preserve">ompanhia é composta pela Gerência de Riscos Controles Internos e </w:t>
      </w:r>
      <w:r w:rsidRPr="00FB7815">
        <w:rPr>
          <w:rFonts w:ascii="Arial" w:hAnsi="Arial" w:cs="Arial"/>
          <w:bCs/>
          <w:i/>
          <w:iCs/>
          <w:sz w:val="18"/>
          <w:szCs w:val="18"/>
          <w:bdr w:val="nil"/>
        </w:rPr>
        <w:t>Compliance</w:t>
      </w:r>
      <w:r w:rsidRPr="00FB7815">
        <w:rPr>
          <w:rFonts w:ascii="Arial" w:hAnsi="Arial" w:cs="Arial"/>
          <w:bCs/>
          <w:sz w:val="18"/>
          <w:szCs w:val="18"/>
          <w:bdr w:val="nil"/>
        </w:rPr>
        <w:t xml:space="preserve"> (Gerco) e Comitê Interno de Gestão de Riscos (Coris</w:t>
      </w:r>
      <w:r>
        <w:rPr>
          <w:rFonts w:ascii="Arial" w:hAnsi="Arial" w:cs="Arial"/>
          <w:bCs/>
          <w:sz w:val="18"/>
          <w:szCs w:val="18"/>
          <w:bdr w:val="nil"/>
        </w:rPr>
        <w:t xml:space="preserve"> interno</w:t>
      </w:r>
      <w:r w:rsidRPr="00FB7815">
        <w:rPr>
          <w:rFonts w:ascii="Arial" w:hAnsi="Arial" w:cs="Arial"/>
          <w:bCs/>
          <w:sz w:val="18"/>
          <w:szCs w:val="18"/>
          <w:bdr w:val="nil"/>
        </w:rPr>
        <w:t>), além de compartilhar estruturas com o Controlador e Auditoria Externa independente (Deloitte). A área atua por categorias de riscos e busca alinhamento às melhores práticas de gestão de riscos e de controles internos do mercado e de seu Controlador.</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FB7815" w:rsidRPr="00FB7815" w:rsidRDefault="00A82039" w:rsidP="00FB7815">
      <w:pPr>
        <w:pStyle w:val="Normal00"/>
        <w:keepLines/>
        <w:pBdr>
          <w:top w:val="nil"/>
          <w:left w:val="nil"/>
          <w:bottom w:val="nil"/>
          <w:right w:val="nil"/>
          <w:between w:val="nil"/>
          <w:bar w:val="nil"/>
        </w:pBdr>
        <w:spacing w:after="120"/>
        <w:jc w:val="both"/>
        <w:rPr>
          <w:rFonts w:ascii="Arial" w:hAnsi="Arial" w:cs="Arial"/>
          <w:b/>
          <w:sz w:val="18"/>
          <w:szCs w:val="18"/>
          <w:bdr w:val="nil"/>
        </w:rPr>
      </w:pPr>
      <w:r w:rsidRPr="00FB7815">
        <w:rPr>
          <w:rFonts w:ascii="Arial" w:hAnsi="Arial" w:cs="Arial"/>
          <w:b/>
          <w:sz w:val="18"/>
          <w:szCs w:val="18"/>
          <w:bdr w:val="nil"/>
        </w:rPr>
        <w:t>RESPONSABILIDADE SOCIAL</w:t>
      </w: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r w:rsidRPr="00FB7815">
        <w:rPr>
          <w:rFonts w:ascii="Arial" w:hAnsi="Arial" w:cs="Arial"/>
          <w:bCs/>
          <w:sz w:val="18"/>
          <w:szCs w:val="18"/>
          <w:bdr w:val="nil"/>
        </w:rPr>
        <w:t>A Ativos S.A. norteia suas atitudes de cobrança no respeito aos direitos dos cidadãos, orientando as equipes de recuperação de créditos a pautarem suas ações nos estritos preceitos do Código de Defesa do Consumidor e demais legislações aplicáveis.</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r w:rsidRPr="00FB7815">
        <w:rPr>
          <w:rFonts w:ascii="Arial" w:hAnsi="Arial" w:cs="Arial"/>
          <w:bCs/>
          <w:sz w:val="18"/>
          <w:szCs w:val="18"/>
          <w:bdr w:val="nil"/>
        </w:rPr>
        <w:t>No desenvolvim</w:t>
      </w:r>
      <w:r>
        <w:rPr>
          <w:rFonts w:ascii="Arial" w:hAnsi="Arial" w:cs="Arial"/>
          <w:bCs/>
          <w:sz w:val="18"/>
          <w:szCs w:val="18"/>
          <w:bdr w:val="nil"/>
        </w:rPr>
        <w:t>ento de seus negócios, a Companhia</w:t>
      </w:r>
      <w:r w:rsidRPr="00FB7815">
        <w:rPr>
          <w:rFonts w:ascii="Arial" w:hAnsi="Arial" w:cs="Arial"/>
          <w:bCs/>
          <w:sz w:val="18"/>
          <w:szCs w:val="18"/>
          <w:bdr w:val="nil"/>
        </w:rPr>
        <w:t xml:space="preserve"> gera resultados que atendem às expectativas dos acionistas na remuneração de seus capitais e recuperam a cidadania de pessoas que, por alguma razão, tornaram-se inadimplentes e, ao pagar suas dívidas, podem ser novamente habilitadas a operar no mercado de crédito. </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r w:rsidRPr="00FB7815">
        <w:rPr>
          <w:rFonts w:ascii="Arial" w:hAnsi="Arial" w:cs="Arial"/>
          <w:bCs/>
          <w:sz w:val="18"/>
          <w:szCs w:val="18"/>
          <w:bdr w:val="nil"/>
        </w:rPr>
        <w:t xml:space="preserve">A </w:t>
      </w:r>
      <w:r>
        <w:rPr>
          <w:rFonts w:ascii="Arial" w:hAnsi="Arial" w:cs="Arial"/>
          <w:bCs/>
          <w:sz w:val="18"/>
          <w:szCs w:val="18"/>
          <w:bdr w:val="nil"/>
        </w:rPr>
        <w:t>C</w:t>
      </w:r>
      <w:r w:rsidRPr="00FB7815">
        <w:rPr>
          <w:rFonts w:ascii="Arial" w:hAnsi="Arial" w:cs="Arial"/>
          <w:bCs/>
          <w:sz w:val="18"/>
          <w:szCs w:val="18"/>
          <w:bdr w:val="nil"/>
        </w:rPr>
        <w:t>ompanhia atua em parceria com empresas cobradoras detentoras de boas práticas de responsabilidade social, permitindo adequar os desembolsos para pagamento de dívidas às atuais condições econômico-financeiras dos clientes.</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FB7815" w:rsidRPr="00FB7815" w:rsidRDefault="00A82039" w:rsidP="00FB7815">
      <w:pPr>
        <w:pStyle w:val="Normal00"/>
        <w:keepLines/>
        <w:pBdr>
          <w:top w:val="nil"/>
          <w:left w:val="nil"/>
          <w:bottom w:val="nil"/>
          <w:right w:val="nil"/>
          <w:between w:val="nil"/>
          <w:bar w:val="nil"/>
        </w:pBdr>
        <w:spacing w:after="120"/>
        <w:jc w:val="both"/>
        <w:rPr>
          <w:rFonts w:ascii="Arial" w:hAnsi="Arial" w:cs="Arial"/>
          <w:b/>
          <w:sz w:val="18"/>
          <w:szCs w:val="18"/>
          <w:bdr w:val="nil"/>
        </w:rPr>
      </w:pPr>
      <w:r w:rsidRPr="00FB7815">
        <w:rPr>
          <w:rFonts w:ascii="Arial" w:hAnsi="Arial" w:cs="Arial"/>
          <w:b/>
          <w:sz w:val="18"/>
          <w:szCs w:val="18"/>
          <w:bdr w:val="nil"/>
        </w:rPr>
        <w:t>CONTRIBUIÇÃO FINANCEIRA PARA A SOCIEDADE</w:t>
      </w: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sz w:val="18"/>
          <w:szCs w:val="18"/>
          <w:bdr w:val="nil"/>
        </w:rPr>
      </w:pPr>
      <w:r w:rsidRPr="00FB7815">
        <w:rPr>
          <w:rFonts w:ascii="Arial" w:hAnsi="Arial" w:cs="Arial"/>
          <w:sz w:val="18"/>
          <w:szCs w:val="18"/>
          <w:bdr w:val="nil"/>
        </w:rPr>
        <w:t>Em relação à contribuição financeira para a sociedade, no ano de 2019 foram apurados R$ 14</w:t>
      </w:r>
      <w:r>
        <w:rPr>
          <w:rFonts w:ascii="Arial" w:hAnsi="Arial" w:cs="Arial"/>
          <w:sz w:val="18"/>
          <w:szCs w:val="18"/>
          <w:bdr w:val="nil"/>
        </w:rPr>
        <w:t>1</w:t>
      </w:r>
      <w:r w:rsidRPr="00FB7815">
        <w:rPr>
          <w:rFonts w:ascii="Arial" w:hAnsi="Arial" w:cs="Arial"/>
          <w:sz w:val="18"/>
          <w:szCs w:val="18"/>
          <w:bdr w:val="nil"/>
        </w:rPr>
        <w:t>.</w:t>
      </w:r>
      <w:r>
        <w:rPr>
          <w:rFonts w:ascii="Arial" w:hAnsi="Arial" w:cs="Arial"/>
          <w:sz w:val="18"/>
          <w:szCs w:val="18"/>
          <w:bdr w:val="nil"/>
        </w:rPr>
        <w:t>20</w:t>
      </w:r>
      <w:r w:rsidRPr="00FB7815">
        <w:rPr>
          <w:rFonts w:ascii="Arial" w:hAnsi="Arial" w:cs="Arial"/>
          <w:sz w:val="18"/>
          <w:szCs w:val="18"/>
          <w:bdr w:val="nil"/>
        </w:rPr>
        <w:t>3 mil a título de impostos e contribuições, sendo:</w:t>
      </w:r>
    </w:p>
    <w:tbl>
      <w:tblPr>
        <w:tblW w:w="5000" w:type="pct"/>
        <w:tblBorders>
          <w:bottom w:val="single" w:sz="2" w:space="0" w:color="C0C0C0"/>
        </w:tblBorders>
        <w:tblLayout w:type="fixed"/>
        <w:tblCellMar>
          <w:left w:w="30" w:type="dxa"/>
          <w:right w:w="30" w:type="dxa"/>
        </w:tblCellMar>
        <w:tblLook w:val="04A0" w:firstRow="1" w:lastRow="0" w:firstColumn="1" w:lastColumn="0" w:noHBand="0" w:noVBand="1"/>
      </w:tblPr>
      <w:tblGrid>
        <w:gridCol w:w="6948"/>
        <w:gridCol w:w="1738"/>
        <w:gridCol w:w="952"/>
      </w:tblGrid>
      <w:tr w:rsidR="00566CE2" w:rsidTr="00FB7815">
        <w:trPr>
          <w:cantSplit/>
          <w:trHeight w:val="227"/>
        </w:trPr>
        <w:tc>
          <w:tcPr>
            <w:tcW w:w="7018" w:type="dxa"/>
            <w:tcBorders>
              <w:top w:val="nil"/>
              <w:left w:val="nil"/>
              <w:bottom w:val="single" w:sz="8" w:space="0" w:color="auto"/>
              <w:right w:val="nil"/>
            </w:tcBorders>
            <w:vAlign w:val="center"/>
          </w:tcPr>
          <w:p w:rsidR="00FB7815" w:rsidRPr="00FB7815" w:rsidRDefault="00FB7815">
            <w:pPr>
              <w:pStyle w:val="08-Tabelageral"/>
              <w:spacing w:after="0"/>
              <w:jc w:val="both"/>
              <w:rPr>
                <w:rFonts w:ascii="Arial" w:hAnsi="Arial" w:cs="Arial"/>
                <w:b/>
                <w:snapToGrid w:val="0"/>
                <w:szCs w:val="18"/>
                <w:bdr w:val="nil"/>
              </w:rPr>
            </w:pPr>
          </w:p>
        </w:tc>
        <w:tc>
          <w:tcPr>
            <w:tcW w:w="1755" w:type="dxa"/>
            <w:tcBorders>
              <w:top w:val="nil"/>
              <w:left w:val="nil"/>
              <w:bottom w:val="single" w:sz="8" w:space="0" w:color="auto"/>
              <w:right w:val="nil"/>
            </w:tcBorders>
            <w:vAlign w:val="center"/>
          </w:tcPr>
          <w:p w:rsidR="00FB7815" w:rsidRPr="00FB7815" w:rsidRDefault="00FB7815">
            <w:pPr>
              <w:pStyle w:val="08-Tabelageral"/>
              <w:spacing w:after="0"/>
              <w:jc w:val="both"/>
              <w:rPr>
                <w:rFonts w:ascii="Arial" w:hAnsi="Arial" w:cs="Arial"/>
                <w:b/>
                <w:snapToGrid w:val="0"/>
                <w:szCs w:val="18"/>
                <w:bdr w:val="nil"/>
              </w:rPr>
            </w:pPr>
          </w:p>
        </w:tc>
        <w:tc>
          <w:tcPr>
            <w:tcW w:w="961" w:type="dxa"/>
            <w:tcBorders>
              <w:top w:val="nil"/>
              <w:left w:val="nil"/>
              <w:bottom w:val="single" w:sz="8" w:space="0" w:color="auto"/>
              <w:right w:val="nil"/>
            </w:tcBorders>
            <w:vAlign w:val="center"/>
            <w:hideMark/>
          </w:tcPr>
          <w:p w:rsidR="00FB7815" w:rsidRPr="00FB7815" w:rsidRDefault="00A82039" w:rsidP="00FB7815">
            <w:pPr>
              <w:pStyle w:val="Normal00"/>
              <w:pBdr>
                <w:top w:val="nil"/>
                <w:left w:val="nil"/>
                <w:bottom w:val="nil"/>
                <w:right w:val="nil"/>
                <w:between w:val="nil"/>
                <w:bar w:val="nil"/>
              </w:pBdr>
              <w:spacing w:after="0"/>
              <w:jc w:val="right"/>
              <w:rPr>
                <w:rFonts w:ascii="Arial" w:hAnsi="Arial" w:cs="Arial"/>
                <w:b/>
                <w:bCs/>
                <w:sz w:val="16"/>
                <w:szCs w:val="18"/>
                <w:bdr w:val="nil"/>
                <w:lang w:val="en-US"/>
              </w:rPr>
            </w:pPr>
            <w:r w:rsidRPr="00FB7815">
              <w:rPr>
                <w:rFonts w:ascii="Arial" w:hAnsi="Arial" w:cs="Arial"/>
                <w:b/>
                <w:bCs/>
                <w:sz w:val="16"/>
                <w:szCs w:val="18"/>
                <w:bdr w:val="nil"/>
                <w:lang w:val="en-US"/>
              </w:rPr>
              <w:t>R$ mil</w:t>
            </w:r>
          </w:p>
        </w:tc>
      </w:tr>
      <w:tr w:rsidR="00566CE2" w:rsidTr="00FB7815">
        <w:trPr>
          <w:cantSplit/>
          <w:trHeight w:val="227"/>
        </w:trPr>
        <w:tc>
          <w:tcPr>
            <w:tcW w:w="7018" w:type="dxa"/>
            <w:tcBorders>
              <w:top w:val="single" w:sz="8" w:space="0" w:color="auto"/>
              <w:left w:val="nil"/>
              <w:bottom w:val="single" w:sz="8" w:space="0" w:color="auto"/>
              <w:right w:val="nil"/>
            </w:tcBorders>
            <w:vAlign w:val="center"/>
            <w:hideMark/>
          </w:tcPr>
          <w:p w:rsidR="00FB7815" w:rsidRPr="00FB7815" w:rsidRDefault="00A82039">
            <w:pPr>
              <w:pStyle w:val="08-Tabelageral"/>
              <w:pBdr>
                <w:top w:val="nil"/>
                <w:left w:val="nil"/>
                <w:bottom w:val="nil"/>
                <w:right w:val="nil"/>
                <w:between w:val="nil"/>
                <w:bar w:val="nil"/>
              </w:pBdr>
              <w:spacing w:after="0"/>
              <w:jc w:val="both"/>
              <w:rPr>
                <w:rFonts w:ascii="Arial" w:hAnsi="Arial" w:cs="Arial"/>
                <w:b/>
                <w:snapToGrid w:val="0"/>
                <w:szCs w:val="18"/>
                <w:bdr w:val="nil"/>
                <w:lang w:val="en-US"/>
              </w:rPr>
            </w:pPr>
            <w:r w:rsidRPr="00FB7815">
              <w:rPr>
                <w:rFonts w:ascii="Arial" w:hAnsi="Arial" w:cs="Arial"/>
                <w:b/>
                <w:smallCaps/>
                <w:szCs w:val="18"/>
                <w:bdr w:val="nil"/>
                <w:lang w:val="en-US"/>
              </w:rPr>
              <w:t>Impostos Apurados</w:t>
            </w:r>
          </w:p>
        </w:tc>
        <w:tc>
          <w:tcPr>
            <w:tcW w:w="1755" w:type="dxa"/>
            <w:tcBorders>
              <w:top w:val="single" w:sz="8" w:space="0" w:color="auto"/>
              <w:left w:val="nil"/>
              <w:bottom w:val="single" w:sz="8" w:space="0" w:color="auto"/>
              <w:right w:val="nil"/>
            </w:tcBorders>
            <w:vAlign w:val="center"/>
          </w:tcPr>
          <w:p w:rsidR="00FB7815" w:rsidRPr="00FB7815" w:rsidRDefault="00FB7815">
            <w:pPr>
              <w:pStyle w:val="08-Tabelageral"/>
              <w:spacing w:after="0"/>
              <w:jc w:val="both"/>
              <w:rPr>
                <w:rFonts w:ascii="Arial" w:hAnsi="Arial" w:cs="Arial"/>
                <w:b/>
                <w:snapToGrid w:val="0"/>
                <w:szCs w:val="18"/>
                <w:bdr w:val="nil"/>
                <w:lang w:val="en-US"/>
              </w:rPr>
            </w:pPr>
          </w:p>
        </w:tc>
        <w:tc>
          <w:tcPr>
            <w:tcW w:w="961" w:type="dxa"/>
            <w:tcBorders>
              <w:top w:val="single" w:sz="8" w:space="0" w:color="auto"/>
              <w:left w:val="nil"/>
              <w:bottom w:val="single" w:sz="8" w:space="0" w:color="auto"/>
              <w:right w:val="nil"/>
            </w:tcBorders>
            <w:vAlign w:val="center"/>
            <w:hideMark/>
          </w:tcPr>
          <w:p w:rsidR="00FB7815" w:rsidRPr="00FB7815" w:rsidRDefault="00A82039" w:rsidP="00FB7815">
            <w:pPr>
              <w:pStyle w:val="08-Tabelageral"/>
              <w:pBdr>
                <w:top w:val="nil"/>
                <w:left w:val="nil"/>
                <w:bottom w:val="nil"/>
                <w:right w:val="nil"/>
                <w:between w:val="nil"/>
                <w:bar w:val="nil"/>
              </w:pBdr>
              <w:spacing w:after="0"/>
              <w:rPr>
                <w:rFonts w:ascii="Arial" w:hAnsi="Arial" w:cs="Arial"/>
                <w:b/>
                <w:snapToGrid w:val="0"/>
                <w:szCs w:val="18"/>
                <w:bdr w:val="nil"/>
                <w:lang w:val="en-US"/>
              </w:rPr>
            </w:pPr>
            <w:r w:rsidRPr="00FB7815">
              <w:rPr>
                <w:rFonts w:ascii="Arial" w:hAnsi="Arial" w:cs="Arial"/>
                <w:b/>
                <w:smallCaps/>
                <w:szCs w:val="18"/>
                <w:bdr w:val="nil"/>
                <w:lang w:val="en-US"/>
              </w:rPr>
              <w:t>Valores</w:t>
            </w:r>
          </w:p>
        </w:tc>
      </w:tr>
      <w:tr w:rsidR="00566CE2" w:rsidTr="00FB7815">
        <w:trPr>
          <w:cantSplit/>
          <w:trHeight w:val="227"/>
        </w:trPr>
        <w:tc>
          <w:tcPr>
            <w:tcW w:w="7018" w:type="dxa"/>
            <w:tcBorders>
              <w:top w:val="single" w:sz="8" w:space="0" w:color="auto"/>
              <w:left w:val="nil"/>
              <w:bottom w:val="nil"/>
              <w:right w:val="nil"/>
            </w:tcBorders>
            <w:vAlign w:val="center"/>
            <w:hideMark/>
          </w:tcPr>
          <w:p w:rsidR="00FB7815" w:rsidRPr="00FB7815" w:rsidRDefault="00A82039">
            <w:pPr>
              <w:pStyle w:val="08-Tabelageral"/>
              <w:pBdr>
                <w:top w:val="nil"/>
                <w:left w:val="nil"/>
                <w:bottom w:val="nil"/>
                <w:right w:val="nil"/>
                <w:between w:val="nil"/>
                <w:bar w:val="nil"/>
              </w:pBdr>
              <w:spacing w:after="0"/>
              <w:jc w:val="both"/>
              <w:rPr>
                <w:rFonts w:ascii="Arial" w:hAnsi="Arial" w:cs="Arial"/>
                <w:snapToGrid w:val="0"/>
                <w:szCs w:val="18"/>
                <w:bdr w:val="nil"/>
                <w:lang w:val="en-US"/>
              </w:rPr>
            </w:pPr>
            <w:r w:rsidRPr="00FB7815">
              <w:rPr>
                <w:rFonts w:ascii="Arial" w:hAnsi="Arial" w:cs="Arial"/>
                <w:szCs w:val="18"/>
                <w:bdr w:val="nil"/>
                <w:lang w:val="en-US"/>
              </w:rPr>
              <w:t>Imposto de Renda</w:t>
            </w:r>
          </w:p>
        </w:tc>
        <w:tc>
          <w:tcPr>
            <w:tcW w:w="1755" w:type="dxa"/>
            <w:tcBorders>
              <w:top w:val="single" w:sz="8" w:space="0" w:color="auto"/>
              <w:left w:val="nil"/>
              <w:bottom w:val="nil"/>
              <w:right w:val="nil"/>
            </w:tcBorders>
            <w:vAlign w:val="center"/>
          </w:tcPr>
          <w:p w:rsidR="00FB7815" w:rsidRPr="00FB7815" w:rsidRDefault="00FB7815">
            <w:pPr>
              <w:pStyle w:val="08-Tabelageral"/>
              <w:spacing w:after="0"/>
              <w:jc w:val="both"/>
              <w:rPr>
                <w:rFonts w:ascii="Arial" w:hAnsi="Arial" w:cs="Arial"/>
                <w:snapToGrid w:val="0"/>
                <w:szCs w:val="18"/>
                <w:bdr w:val="nil"/>
                <w:lang w:val="en-US"/>
              </w:rPr>
            </w:pPr>
          </w:p>
        </w:tc>
        <w:tc>
          <w:tcPr>
            <w:tcW w:w="961" w:type="dxa"/>
            <w:tcBorders>
              <w:top w:val="single" w:sz="8" w:space="0" w:color="auto"/>
              <w:left w:val="nil"/>
              <w:bottom w:val="nil"/>
              <w:right w:val="nil"/>
            </w:tcBorders>
            <w:vAlign w:val="center"/>
            <w:hideMark/>
          </w:tcPr>
          <w:p w:rsidR="00FB7815" w:rsidRPr="00FB7815" w:rsidRDefault="00A82039" w:rsidP="00FB7815">
            <w:pPr>
              <w:pStyle w:val="Normal00"/>
              <w:pBdr>
                <w:top w:val="nil"/>
                <w:left w:val="nil"/>
                <w:bottom w:val="nil"/>
                <w:right w:val="nil"/>
                <w:between w:val="nil"/>
                <w:bar w:val="nil"/>
              </w:pBdr>
              <w:spacing w:after="0"/>
              <w:jc w:val="right"/>
              <w:rPr>
                <w:rFonts w:ascii="Arial" w:hAnsi="Arial" w:cs="Arial"/>
                <w:sz w:val="16"/>
                <w:szCs w:val="18"/>
                <w:bdr w:val="nil"/>
                <w:lang w:val="en-US"/>
              </w:rPr>
            </w:pPr>
            <w:r w:rsidRPr="00FB7815">
              <w:rPr>
                <w:rFonts w:ascii="Arial" w:hAnsi="Arial" w:cs="Arial"/>
                <w:sz w:val="16"/>
                <w:szCs w:val="18"/>
                <w:bdr w:val="nil"/>
                <w:lang w:val="en-US"/>
              </w:rPr>
              <w:t>(77.594)</w:t>
            </w:r>
          </w:p>
        </w:tc>
      </w:tr>
      <w:tr w:rsidR="00566CE2" w:rsidTr="00FB7815">
        <w:trPr>
          <w:cantSplit/>
          <w:trHeight w:val="227"/>
        </w:trPr>
        <w:tc>
          <w:tcPr>
            <w:tcW w:w="7018" w:type="dxa"/>
            <w:tcBorders>
              <w:top w:val="nil"/>
              <w:left w:val="nil"/>
              <w:bottom w:val="nil"/>
              <w:right w:val="nil"/>
            </w:tcBorders>
            <w:vAlign w:val="center"/>
            <w:hideMark/>
          </w:tcPr>
          <w:p w:rsidR="00FB7815" w:rsidRPr="00FB7815" w:rsidRDefault="00A82039">
            <w:pPr>
              <w:pStyle w:val="Normal00"/>
              <w:pBdr>
                <w:top w:val="nil"/>
                <w:left w:val="nil"/>
                <w:bottom w:val="nil"/>
                <w:right w:val="nil"/>
                <w:between w:val="nil"/>
                <w:bar w:val="nil"/>
              </w:pBdr>
              <w:spacing w:after="0"/>
              <w:jc w:val="both"/>
              <w:rPr>
                <w:rFonts w:ascii="Arial" w:hAnsi="Arial" w:cs="Arial"/>
                <w:sz w:val="16"/>
                <w:szCs w:val="18"/>
                <w:bdr w:val="nil"/>
              </w:rPr>
            </w:pPr>
            <w:r w:rsidRPr="00FB7815">
              <w:rPr>
                <w:rFonts w:ascii="Arial" w:hAnsi="Arial" w:cs="Arial"/>
                <w:sz w:val="16"/>
                <w:szCs w:val="18"/>
                <w:bdr w:val="nil"/>
              </w:rPr>
              <w:t>Contribuição Social sobre o Lucro Líquido</w:t>
            </w:r>
          </w:p>
        </w:tc>
        <w:tc>
          <w:tcPr>
            <w:tcW w:w="1755" w:type="dxa"/>
            <w:tcBorders>
              <w:top w:val="nil"/>
              <w:left w:val="nil"/>
              <w:bottom w:val="nil"/>
              <w:right w:val="nil"/>
            </w:tcBorders>
            <w:vAlign w:val="center"/>
          </w:tcPr>
          <w:p w:rsidR="00FB7815" w:rsidRPr="00FB7815" w:rsidRDefault="00FB7815">
            <w:pPr>
              <w:pStyle w:val="08-Tabelageral"/>
              <w:spacing w:after="0"/>
              <w:jc w:val="both"/>
              <w:rPr>
                <w:rFonts w:ascii="Arial" w:hAnsi="Arial" w:cs="Arial"/>
                <w:snapToGrid w:val="0"/>
                <w:szCs w:val="18"/>
                <w:u w:val="single"/>
                <w:bdr w:val="nil"/>
              </w:rPr>
            </w:pPr>
          </w:p>
        </w:tc>
        <w:tc>
          <w:tcPr>
            <w:tcW w:w="961" w:type="dxa"/>
            <w:tcBorders>
              <w:top w:val="nil"/>
              <w:left w:val="nil"/>
              <w:bottom w:val="nil"/>
              <w:right w:val="nil"/>
            </w:tcBorders>
            <w:vAlign w:val="center"/>
            <w:hideMark/>
          </w:tcPr>
          <w:p w:rsidR="00FB7815" w:rsidRPr="00FB7815" w:rsidRDefault="00A82039" w:rsidP="00FB7815">
            <w:pPr>
              <w:pStyle w:val="Normal00"/>
              <w:pBdr>
                <w:top w:val="nil"/>
                <w:left w:val="nil"/>
                <w:bottom w:val="nil"/>
                <w:right w:val="nil"/>
                <w:between w:val="nil"/>
                <w:bar w:val="nil"/>
              </w:pBdr>
              <w:spacing w:after="0"/>
              <w:jc w:val="right"/>
              <w:rPr>
                <w:rFonts w:ascii="Arial" w:hAnsi="Arial" w:cs="Arial"/>
                <w:sz w:val="16"/>
                <w:szCs w:val="18"/>
                <w:bdr w:val="nil"/>
                <w:lang w:val="en-US"/>
              </w:rPr>
            </w:pPr>
            <w:r w:rsidRPr="00FB7815">
              <w:rPr>
                <w:rFonts w:ascii="Arial" w:hAnsi="Arial" w:cs="Arial"/>
                <w:sz w:val="16"/>
                <w:szCs w:val="18"/>
                <w:bdr w:val="nil"/>
                <w:lang w:val="en-US"/>
              </w:rPr>
              <w:t>(28.261)</w:t>
            </w:r>
          </w:p>
        </w:tc>
      </w:tr>
      <w:tr w:rsidR="00566CE2" w:rsidTr="00FB7815">
        <w:trPr>
          <w:cantSplit/>
          <w:trHeight w:val="227"/>
        </w:trPr>
        <w:tc>
          <w:tcPr>
            <w:tcW w:w="7018" w:type="dxa"/>
            <w:tcBorders>
              <w:top w:val="nil"/>
              <w:left w:val="nil"/>
              <w:bottom w:val="nil"/>
              <w:right w:val="nil"/>
            </w:tcBorders>
            <w:vAlign w:val="center"/>
            <w:hideMark/>
          </w:tcPr>
          <w:p w:rsidR="00FB7815" w:rsidRPr="00FB7815" w:rsidRDefault="00A82039">
            <w:pPr>
              <w:pStyle w:val="Normal00"/>
              <w:pBdr>
                <w:top w:val="nil"/>
                <w:left w:val="nil"/>
                <w:bottom w:val="nil"/>
                <w:right w:val="nil"/>
                <w:between w:val="nil"/>
                <w:bar w:val="nil"/>
              </w:pBdr>
              <w:spacing w:after="0"/>
              <w:jc w:val="both"/>
              <w:rPr>
                <w:rFonts w:ascii="Arial" w:hAnsi="Arial" w:cs="Arial"/>
                <w:sz w:val="16"/>
                <w:szCs w:val="18"/>
                <w:bdr w:val="nil"/>
                <w:lang w:val="en-US"/>
              </w:rPr>
            </w:pPr>
            <w:r w:rsidRPr="00FB7815">
              <w:rPr>
                <w:rFonts w:ascii="Arial" w:hAnsi="Arial" w:cs="Arial"/>
                <w:sz w:val="16"/>
                <w:szCs w:val="18"/>
                <w:bdr w:val="nil"/>
                <w:lang w:val="en-US"/>
              </w:rPr>
              <w:t>COFINS</w:t>
            </w:r>
          </w:p>
        </w:tc>
        <w:tc>
          <w:tcPr>
            <w:tcW w:w="1755" w:type="dxa"/>
            <w:tcBorders>
              <w:top w:val="nil"/>
              <w:left w:val="nil"/>
              <w:bottom w:val="nil"/>
              <w:right w:val="nil"/>
            </w:tcBorders>
            <w:vAlign w:val="center"/>
          </w:tcPr>
          <w:p w:rsidR="00FB7815" w:rsidRPr="00FB7815" w:rsidRDefault="00FB7815">
            <w:pPr>
              <w:pStyle w:val="08-Tabelageral"/>
              <w:spacing w:after="0"/>
              <w:jc w:val="both"/>
              <w:rPr>
                <w:rFonts w:ascii="Arial" w:hAnsi="Arial" w:cs="Arial"/>
                <w:snapToGrid w:val="0"/>
                <w:szCs w:val="18"/>
                <w:u w:val="double"/>
                <w:bdr w:val="nil"/>
                <w:lang w:val="en-US"/>
              </w:rPr>
            </w:pPr>
          </w:p>
        </w:tc>
        <w:tc>
          <w:tcPr>
            <w:tcW w:w="961" w:type="dxa"/>
            <w:tcBorders>
              <w:top w:val="nil"/>
              <w:left w:val="nil"/>
              <w:bottom w:val="nil"/>
              <w:right w:val="nil"/>
            </w:tcBorders>
            <w:vAlign w:val="center"/>
            <w:hideMark/>
          </w:tcPr>
          <w:p w:rsidR="00FB7815" w:rsidRPr="00FB7815" w:rsidRDefault="00A82039" w:rsidP="00FB7815">
            <w:pPr>
              <w:pStyle w:val="Normal00"/>
              <w:pBdr>
                <w:top w:val="nil"/>
                <w:left w:val="nil"/>
                <w:bottom w:val="nil"/>
                <w:right w:val="nil"/>
                <w:between w:val="nil"/>
                <w:bar w:val="nil"/>
              </w:pBdr>
              <w:spacing w:after="0"/>
              <w:jc w:val="right"/>
              <w:rPr>
                <w:rFonts w:ascii="Arial" w:hAnsi="Arial" w:cs="Arial"/>
                <w:sz w:val="16"/>
                <w:szCs w:val="18"/>
                <w:bdr w:val="nil"/>
                <w:lang w:val="en-US"/>
              </w:rPr>
            </w:pPr>
            <w:r w:rsidRPr="00FB7815">
              <w:rPr>
                <w:rFonts w:ascii="Arial" w:hAnsi="Arial" w:cs="Arial"/>
                <w:sz w:val="16"/>
                <w:szCs w:val="18"/>
                <w:bdr w:val="nil"/>
                <w:lang w:val="en-US"/>
              </w:rPr>
              <w:t>(30.320)</w:t>
            </w:r>
          </w:p>
        </w:tc>
      </w:tr>
      <w:tr w:rsidR="00566CE2" w:rsidTr="00FB7815">
        <w:trPr>
          <w:cantSplit/>
          <w:trHeight w:val="227"/>
        </w:trPr>
        <w:tc>
          <w:tcPr>
            <w:tcW w:w="7018" w:type="dxa"/>
            <w:tcBorders>
              <w:top w:val="nil"/>
              <w:left w:val="nil"/>
              <w:bottom w:val="nil"/>
              <w:right w:val="nil"/>
            </w:tcBorders>
            <w:vAlign w:val="center"/>
            <w:hideMark/>
          </w:tcPr>
          <w:p w:rsidR="00FB7815" w:rsidRPr="00FB7815" w:rsidRDefault="00A82039">
            <w:pPr>
              <w:pStyle w:val="Normal00"/>
              <w:pBdr>
                <w:top w:val="nil"/>
                <w:left w:val="nil"/>
                <w:bottom w:val="nil"/>
                <w:right w:val="nil"/>
                <w:between w:val="nil"/>
                <w:bar w:val="nil"/>
              </w:pBdr>
              <w:spacing w:after="0"/>
              <w:jc w:val="both"/>
              <w:rPr>
                <w:rFonts w:ascii="Arial" w:hAnsi="Arial" w:cs="Arial"/>
                <w:sz w:val="16"/>
                <w:szCs w:val="18"/>
                <w:bdr w:val="nil"/>
                <w:lang w:val="en-US"/>
              </w:rPr>
            </w:pPr>
            <w:r w:rsidRPr="00FB7815">
              <w:rPr>
                <w:rFonts w:ascii="Arial" w:hAnsi="Arial" w:cs="Arial"/>
                <w:sz w:val="16"/>
                <w:szCs w:val="18"/>
                <w:bdr w:val="nil"/>
                <w:lang w:val="en-US"/>
              </w:rPr>
              <w:t>PIS/PASEP</w:t>
            </w:r>
          </w:p>
        </w:tc>
        <w:tc>
          <w:tcPr>
            <w:tcW w:w="1755" w:type="dxa"/>
            <w:tcBorders>
              <w:top w:val="nil"/>
              <w:left w:val="nil"/>
              <w:bottom w:val="nil"/>
              <w:right w:val="nil"/>
            </w:tcBorders>
            <w:vAlign w:val="center"/>
          </w:tcPr>
          <w:p w:rsidR="00FB7815" w:rsidRPr="00FB7815" w:rsidRDefault="00FB7815">
            <w:pPr>
              <w:pStyle w:val="08-Tabelageral"/>
              <w:spacing w:after="0"/>
              <w:jc w:val="both"/>
              <w:rPr>
                <w:rFonts w:ascii="Arial" w:hAnsi="Arial" w:cs="Arial"/>
                <w:snapToGrid w:val="0"/>
                <w:szCs w:val="18"/>
                <w:bdr w:val="nil"/>
                <w:lang w:val="en-US"/>
              </w:rPr>
            </w:pPr>
          </w:p>
        </w:tc>
        <w:tc>
          <w:tcPr>
            <w:tcW w:w="961" w:type="dxa"/>
            <w:tcBorders>
              <w:top w:val="nil"/>
              <w:left w:val="nil"/>
              <w:bottom w:val="nil"/>
              <w:right w:val="nil"/>
            </w:tcBorders>
            <w:vAlign w:val="center"/>
            <w:hideMark/>
          </w:tcPr>
          <w:p w:rsidR="00FB7815" w:rsidRPr="00FB7815" w:rsidRDefault="00A82039" w:rsidP="00CB464C">
            <w:pPr>
              <w:pStyle w:val="Normal00"/>
              <w:pBdr>
                <w:top w:val="nil"/>
                <w:left w:val="nil"/>
                <w:bottom w:val="nil"/>
                <w:right w:val="nil"/>
                <w:between w:val="nil"/>
                <w:bar w:val="nil"/>
              </w:pBdr>
              <w:spacing w:after="0"/>
              <w:jc w:val="right"/>
              <w:rPr>
                <w:rFonts w:ascii="Arial" w:hAnsi="Arial" w:cs="Arial"/>
                <w:sz w:val="16"/>
                <w:szCs w:val="18"/>
                <w:bdr w:val="nil"/>
                <w:lang w:val="en-US"/>
              </w:rPr>
            </w:pPr>
            <w:r w:rsidRPr="00FB7815">
              <w:rPr>
                <w:rFonts w:ascii="Arial" w:hAnsi="Arial" w:cs="Arial"/>
                <w:sz w:val="16"/>
                <w:szCs w:val="18"/>
                <w:bdr w:val="nil"/>
                <w:lang w:val="en-US"/>
              </w:rPr>
              <w:t>(4.</w:t>
            </w:r>
            <w:r>
              <w:rPr>
                <w:rFonts w:ascii="Arial" w:hAnsi="Arial" w:cs="Arial"/>
                <w:sz w:val="16"/>
                <w:szCs w:val="18"/>
                <w:bdr w:val="nil"/>
                <w:lang w:val="en-US"/>
              </w:rPr>
              <w:t>92</w:t>
            </w:r>
            <w:r w:rsidRPr="00FB7815">
              <w:rPr>
                <w:rFonts w:ascii="Arial" w:hAnsi="Arial" w:cs="Arial"/>
                <w:sz w:val="16"/>
                <w:szCs w:val="18"/>
                <w:bdr w:val="nil"/>
                <w:lang w:val="en-US"/>
              </w:rPr>
              <w:t>7)</w:t>
            </w:r>
          </w:p>
        </w:tc>
      </w:tr>
      <w:tr w:rsidR="00566CE2" w:rsidTr="00FB7815">
        <w:trPr>
          <w:cantSplit/>
          <w:trHeight w:val="227"/>
        </w:trPr>
        <w:tc>
          <w:tcPr>
            <w:tcW w:w="7018" w:type="dxa"/>
            <w:tcBorders>
              <w:top w:val="nil"/>
              <w:left w:val="nil"/>
              <w:bottom w:val="single" w:sz="4" w:space="0" w:color="auto"/>
              <w:right w:val="nil"/>
            </w:tcBorders>
            <w:vAlign w:val="center"/>
            <w:hideMark/>
          </w:tcPr>
          <w:p w:rsidR="00FB7815" w:rsidRPr="00FB7815" w:rsidRDefault="00A82039">
            <w:pPr>
              <w:pStyle w:val="Normal00"/>
              <w:pBdr>
                <w:top w:val="nil"/>
                <w:left w:val="nil"/>
                <w:bottom w:val="nil"/>
                <w:right w:val="nil"/>
                <w:between w:val="nil"/>
                <w:bar w:val="nil"/>
              </w:pBdr>
              <w:spacing w:after="0"/>
              <w:jc w:val="both"/>
              <w:rPr>
                <w:rFonts w:ascii="Arial" w:hAnsi="Arial" w:cs="Arial"/>
                <w:sz w:val="16"/>
                <w:szCs w:val="18"/>
                <w:bdr w:val="nil"/>
                <w:lang w:val="en-US"/>
              </w:rPr>
            </w:pPr>
            <w:r w:rsidRPr="00FB7815">
              <w:rPr>
                <w:rFonts w:ascii="Arial" w:hAnsi="Arial" w:cs="Arial"/>
                <w:sz w:val="16"/>
                <w:szCs w:val="18"/>
                <w:bdr w:val="nil"/>
                <w:lang w:val="en-US"/>
              </w:rPr>
              <w:t>Outros tributos</w:t>
            </w:r>
          </w:p>
        </w:tc>
        <w:tc>
          <w:tcPr>
            <w:tcW w:w="1755" w:type="dxa"/>
            <w:tcBorders>
              <w:top w:val="nil"/>
              <w:left w:val="nil"/>
              <w:bottom w:val="single" w:sz="4" w:space="0" w:color="auto"/>
              <w:right w:val="nil"/>
            </w:tcBorders>
            <w:vAlign w:val="center"/>
          </w:tcPr>
          <w:p w:rsidR="00FB7815" w:rsidRPr="00FB7815" w:rsidRDefault="00FB7815">
            <w:pPr>
              <w:pStyle w:val="08-Tabelageral"/>
              <w:spacing w:after="0"/>
              <w:jc w:val="both"/>
              <w:rPr>
                <w:rFonts w:ascii="Arial" w:hAnsi="Arial" w:cs="Arial"/>
                <w:snapToGrid w:val="0"/>
                <w:szCs w:val="18"/>
                <w:bdr w:val="nil"/>
                <w:lang w:val="en-US"/>
              </w:rPr>
            </w:pPr>
          </w:p>
        </w:tc>
        <w:tc>
          <w:tcPr>
            <w:tcW w:w="961" w:type="dxa"/>
            <w:tcBorders>
              <w:top w:val="nil"/>
              <w:left w:val="nil"/>
              <w:bottom w:val="single" w:sz="4" w:space="0" w:color="auto"/>
              <w:right w:val="nil"/>
            </w:tcBorders>
            <w:vAlign w:val="center"/>
            <w:hideMark/>
          </w:tcPr>
          <w:p w:rsidR="00FB7815" w:rsidRPr="00FB7815" w:rsidRDefault="00A82039" w:rsidP="00FB7815">
            <w:pPr>
              <w:pStyle w:val="Normal00"/>
              <w:pBdr>
                <w:top w:val="nil"/>
                <w:left w:val="nil"/>
                <w:bottom w:val="nil"/>
                <w:right w:val="nil"/>
                <w:between w:val="nil"/>
                <w:bar w:val="nil"/>
              </w:pBdr>
              <w:spacing w:after="0"/>
              <w:jc w:val="right"/>
              <w:rPr>
                <w:rFonts w:ascii="Arial" w:hAnsi="Arial" w:cs="Arial"/>
                <w:sz w:val="16"/>
                <w:szCs w:val="18"/>
                <w:bdr w:val="nil"/>
                <w:lang w:val="en-US"/>
              </w:rPr>
            </w:pPr>
            <w:r w:rsidRPr="00FB7815">
              <w:rPr>
                <w:rFonts w:ascii="Arial" w:hAnsi="Arial" w:cs="Arial"/>
                <w:sz w:val="16"/>
                <w:szCs w:val="18"/>
                <w:bdr w:val="nil"/>
                <w:lang w:val="en-US"/>
              </w:rPr>
              <w:t>(101)</w:t>
            </w:r>
          </w:p>
        </w:tc>
      </w:tr>
    </w:tbl>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FB7815" w:rsidRPr="00FB7815" w:rsidRDefault="00A82039"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r w:rsidRPr="00FB7815">
        <w:rPr>
          <w:rFonts w:ascii="Arial" w:hAnsi="Arial" w:cs="Arial"/>
          <w:bCs/>
          <w:sz w:val="18"/>
          <w:szCs w:val="18"/>
          <w:bdr w:val="nil"/>
        </w:rPr>
        <w:t>Em 2019, por meio de incentivos fiscais, foram apoiados 7 (sete) projetos vinculados ao Fundo dos Direitos da Criança e Adolescente (FIA) e 2 (dois) projetos vinculados ao Fundo dos Direitos da Pessoa Idosa (FDPI). A Ativos também apoiou projetos sociais de diversas regiões do país, por meio da Fundação Banco do Brasil (FBB). Estas ações totalizaram R$ 1.734 mil.</w:t>
      </w:r>
    </w:p>
    <w:p w:rsidR="00FB7815" w:rsidRPr="00FB7815" w:rsidRDefault="00FB7815" w:rsidP="00FB7815">
      <w:pPr>
        <w:pStyle w:val="Normal00"/>
        <w:keepLines/>
        <w:pBdr>
          <w:top w:val="nil"/>
          <w:left w:val="nil"/>
          <w:bottom w:val="nil"/>
          <w:right w:val="nil"/>
          <w:between w:val="nil"/>
          <w:bar w:val="nil"/>
        </w:pBdr>
        <w:spacing w:after="0"/>
        <w:jc w:val="both"/>
        <w:rPr>
          <w:rFonts w:ascii="Arial" w:hAnsi="Arial" w:cs="Arial"/>
          <w:bCs/>
          <w:sz w:val="18"/>
          <w:szCs w:val="18"/>
          <w:bdr w:val="nil"/>
        </w:rPr>
      </w:pPr>
    </w:p>
    <w:p w:rsidR="00FB7815" w:rsidRPr="00FB7815" w:rsidRDefault="00A82039" w:rsidP="00193724">
      <w:pPr>
        <w:pStyle w:val="Normal00"/>
        <w:keepLines/>
        <w:pBdr>
          <w:top w:val="nil"/>
          <w:left w:val="nil"/>
          <w:bottom w:val="nil"/>
          <w:right w:val="nil"/>
          <w:between w:val="nil"/>
          <w:bar w:val="nil"/>
        </w:pBdr>
        <w:spacing w:after="0"/>
        <w:jc w:val="both"/>
        <w:rPr>
          <w:rFonts w:ascii="Arial" w:hAnsi="Arial" w:cs="Arial"/>
          <w:b/>
          <w:sz w:val="18"/>
          <w:szCs w:val="18"/>
          <w:bdr w:val="nil"/>
        </w:rPr>
      </w:pPr>
      <w:r w:rsidRPr="00FB7815">
        <w:rPr>
          <w:rFonts w:ascii="Arial" w:hAnsi="Arial" w:cs="Arial"/>
          <w:b/>
          <w:sz w:val="18"/>
          <w:szCs w:val="18"/>
          <w:bdr w:val="nil"/>
        </w:rPr>
        <w:t>AGRADECIMENTOS</w:t>
      </w:r>
    </w:p>
    <w:p w:rsidR="00841C29" w:rsidRPr="00FB7815" w:rsidRDefault="00A82039" w:rsidP="00193724">
      <w:pPr>
        <w:pStyle w:val="Normal00"/>
        <w:keepLines/>
        <w:pBdr>
          <w:top w:val="nil"/>
          <w:left w:val="nil"/>
          <w:bottom w:val="nil"/>
          <w:right w:val="nil"/>
          <w:between w:val="nil"/>
          <w:bar w:val="nil"/>
        </w:pBdr>
        <w:spacing w:after="0"/>
        <w:jc w:val="both"/>
        <w:rPr>
          <w:rFonts w:ascii="Arial" w:hAnsi="Arial" w:cs="Arial"/>
          <w:sz w:val="18"/>
          <w:szCs w:val="18"/>
          <w:bdr w:val="nil"/>
        </w:rPr>
        <w:sectPr w:rsidR="00841C29" w:rsidRPr="00FB7815" w:rsidSect="00182F70">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134" w:right="1134" w:bottom="1134" w:left="1134" w:header="425" w:footer="425" w:gutter="0"/>
          <w:pgBorders>
            <w:top w:val="nil"/>
            <w:left w:val="nil"/>
            <w:bottom w:val="nil"/>
            <w:right w:val="nil"/>
          </w:pgBorders>
          <w:pgNumType w:start="1"/>
          <w:cols w:space="720"/>
          <w:docGrid w:linePitch="360"/>
        </w:sectPr>
      </w:pPr>
      <w:r w:rsidRPr="00FB7815">
        <w:rPr>
          <w:rFonts w:ascii="Arial" w:hAnsi="Arial" w:cs="Arial"/>
          <w:bCs/>
          <w:sz w:val="18"/>
          <w:szCs w:val="18"/>
          <w:bdr w:val="nil"/>
        </w:rPr>
        <w:t>Agradecemos a dedicação e o empenho de nossos funcionários e colaboradores, bem como a confiança dos acionistas, dos clientes e da sociedade.</w:t>
      </w:r>
    </w:p>
    <w:tbl>
      <w:tblPr>
        <w:tblStyle w:val="CDMRange1"/>
        <w:tblW w:w="9705" w:type="dxa"/>
        <w:tblLayout w:type="fixed"/>
        <w:tblLook w:val="0600" w:firstRow="0" w:lastRow="0" w:firstColumn="0" w:lastColumn="0" w:noHBand="1" w:noVBand="1"/>
        <w:tblCaption w:val="DRE"/>
      </w:tblPr>
      <w:tblGrid>
        <w:gridCol w:w="5250"/>
        <w:gridCol w:w="1155"/>
        <w:gridCol w:w="1650"/>
        <w:gridCol w:w="1650"/>
      </w:tblGrid>
      <w:tr w:rsidR="00566CE2">
        <w:trPr>
          <w:trHeight w:hRule="exact" w:val="255"/>
          <w:tblHeader/>
        </w:trPr>
        <w:tc>
          <w:tcPr>
            <w:tcW w:w="5250"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pageBreakBefore/>
              <w:spacing w:before="0"/>
              <w:jc w:val="left"/>
              <w:rPr>
                <w:rFonts w:eastAsia="Arial" w:cs="Arial"/>
                <w:b/>
                <w:color w:val="000000"/>
                <w:szCs w:val="24"/>
                <w:lang w:eastAsia="en-US"/>
              </w:rPr>
            </w:pPr>
            <w:r>
              <w:rPr>
                <w:rFonts w:eastAsia="Arial" w:cs="Arial"/>
                <w:b/>
                <w:color w:val="000000"/>
                <w:szCs w:val="24"/>
                <w:lang w:eastAsia="en-US"/>
              </w:rPr>
              <w:lastRenderedPageBreak/>
              <w:t>BALANÇO PATRIMONIAL</w:t>
            </w:r>
          </w:p>
        </w:tc>
        <w:tc>
          <w:tcPr>
            <w:tcW w:w="115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blHeader/>
        </w:trPr>
        <w:tc>
          <w:tcPr>
            <w:tcW w:w="52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b/>
                <w:color w:val="000000"/>
                <w:sz w:val="16"/>
                <w:szCs w:val="24"/>
                <w:lang w:eastAsia="en-US"/>
              </w:rPr>
            </w:pP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3300" w:type="dxa"/>
            <w:gridSpan w:val="2"/>
            <w:tcBorders>
              <w:top w:val="nil"/>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ATIVO</w:t>
            </w:r>
          </w:p>
        </w:tc>
        <w:tc>
          <w:tcPr>
            <w:tcW w:w="11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66CE2" w:rsidRDefault="00A82039">
            <w:pPr>
              <w:spacing w:before="0"/>
              <w:jc w:val="center"/>
              <w:rPr>
                <w:rFonts w:eastAsia="Arial" w:cs="Arial"/>
                <w:b/>
                <w:color w:val="000000"/>
                <w:sz w:val="16"/>
                <w:szCs w:val="24"/>
                <w:lang w:eastAsia="en-US"/>
              </w:rPr>
            </w:pPr>
            <w:r>
              <w:rPr>
                <w:rFonts w:eastAsia="Arial" w:cs="Arial"/>
                <w:b/>
                <w:color w:val="000000"/>
                <w:sz w:val="16"/>
                <w:szCs w:val="24"/>
                <w:lang w:eastAsia="en-US"/>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31.12.2019</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31.12.2018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9"/>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b/>
                <w:color w:val="000000"/>
                <w:sz w:val="16"/>
                <w:szCs w:val="24"/>
                <w:lang w:eastAsia="en-US"/>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 xml:space="preserve">ATIVO CIRCULANTE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563.719</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456.466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9"/>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Caixa e Equivalentes de Caixa</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4</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10.425</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15.748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9"/>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 xml:space="preserve">Instrumentos Financeiros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545.580</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432.587</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 xml:space="preserve">Aplicações financeiras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5.a</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272.536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179.958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 xml:space="preserve">Créditos adquiridos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5.d</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273.044</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252.629</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2"/>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 xml:space="preserve">Outros Créditos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7.457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6.697</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 xml:space="preserve">Outros Valores e Bens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257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1.434</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 xml:space="preserve">ATIVO NÃO CIRCULANTE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631.466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619.098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9"/>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 xml:space="preserve">REALIZÁVEL A LONGO PRAZO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628.499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615.973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9"/>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 xml:space="preserve">Instrumentos Financeiros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617.819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607.565</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 xml:space="preserve">Créditos adquiridos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5.d</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617.819</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607.565</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2"/>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 xml:space="preserve">Outros Créditos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10.680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8.408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2"/>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 xml:space="preserve">INVESTIMENTOS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9</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9</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 xml:space="preserve">Participações societárias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 xml:space="preserve">Outros investimentos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2"/>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 xml:space="preserve">IMOBILIZADO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9</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1.230</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1.090</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Imobilizado de uso</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4.670</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5.448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 xml:space="preserve">(Depreciação acumulada)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(3.440)</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(4.358)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2"/>
        </w:trPr>
        <w:tc>
          <w:tcPr>
            <w:tcW w:w="52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spacing w:before="0"/>
              <w:jc w:val="left"/>
              <w:rPr>
                <w:rFonts w:eastAsia="Arial" w:cs="Arial"/>
                <w:color w:val="818181"/>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818181"/>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818181"/>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818181"/>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INTANGÍVEL</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10</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1.728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2.026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 xml:space="preserve"> Ativos Intangíveis</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818181"/>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2.342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2.225</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 xml:space="preserve"> (Amortização acumulada)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(614)</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(199)</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2"/>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 xml:space="preserve">TOTAL DO ATIVO </w:t>
            </w: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1.195.185</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1.075.564</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b/>
                <w:color w:val="000000"/>
                <w:sz w:val="16"/>
                <w:szCs w:val="24"/>
                <w:lang w:eastAsia="en-US"/>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 xml:space="preserve">PASSIVO/PATRIMÔNIO LÍQUIDO </w:t>
            </w:r>
          </w:p>
        </w:tc>
        <w:tc>
          <w:tcPr>
            <w:tcW w:w="11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66CE2" w:rsidRDefault="00A82039">
            <w:pPr>
              <w:spacing w:before="0"/>
              <w:jc w:val="center"/>
              <w:rPr>
                <w:rFonts w:eastAsia="Arial" w:cs="Arial"/>
                <w:b/>
                <w:color w:val="000000"/>
                <w:sz w:val="16"/>
                <w:szCs w:val="24"/>
                <w:lang w:eastAsia="en-US"/>
              </w:rPr>
            </w:pPr>
            <w:r>
              <w:rPr>
                <w:rFonts w:eastAsia="Arial" w:cs="Arial"/>
                <w:b/>
                <w:color w:val="000000"/>
                <w:sz w:val="16"/>
                <w:szCs w:val="24"/>
                <w:lang w:eastAsia="en-US"/>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31.12.2019</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31.12.2018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9"/>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b/>
                <w:color w:val="000000"/>
                <w:sz w:val="16"/>
                <w:szCs w:val="24"/>
                <w:lang w:eastAsia="en-US"/>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 xml:space="preserve">PASSIVO CIRCULANTE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282.589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173.471</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9"/>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 xml:space="preserve">Outras Obrigações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282.589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173.471</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 xml:space="preserve">Sociais e estatutárias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11.a</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202.109</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128.853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 xml:space="preserve">Fiscais e previdenciárias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11.b</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38.619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14.592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 xml:space="preserve">Diversas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11.c</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41.861</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30.026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9"/>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 xml:space="preserve">PATRIMÔNIO LÍQUIDO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912.596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902.093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9"/>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Capital Social</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15.b</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656.103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656.103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2"/>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 xml:space="preserve">Reservas de Lucros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15.c</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256.493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245.990</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2"/>
        </w:trPr>
        <w:tc>
          <w:tcPr>
            <w:tcW w:w="52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 xml:space="preserve">TOTAL DO PASSIVO </w:t>
            </w: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1.195.185</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1.075.564</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705" w:type="dxa"/>
            <w:gridSpan w:val="4"/>
            <w:tcBorders>
              <w:top w:val="single" w:sz="4" w:space="0" w:color="000000"/>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As notas explicativas são parte integrante das demonstrações contábeis.</w:t>
            </w:r>
          </w:p>
        </w:tc>
      </w:tr>
    </w:tbl>
    <w:tbl>
      <w:tblPr>
        <w:tblW w:w="9705" w:type="dxa"/>
        <w:tblLayout w:type="fixed"/>
        <w:tblLook w:val="0600" w:firstRow="0" w:lastRow="0" w:firstColumn="0" w:lastColumn="0" w:noHBand="1" w:noVBand="1"/>
        <w:tblCaption w:val="DRE"/>
      </w:tblPr>
      <w:tblGrid>
        <w:gridCol w:w="5955"/>
        <w:gridCol w:w="450"/>
        <w:gridCol w:w="1650"/>
        <w:gridCol w:w="1650"/>
      </w:tblGrid>
      <w:tr w:rsidR="00566CE2">
        <w:trPr>
          <w:cantSplit/>
          <w:trHeight w:hRule="exact" w:val="255"/>
        </w:trPr>
        <w:tc>
          <w:tcPr>
            <w:tcW w:w="6405" w:type="dxa"/>
            <w:gridSpan w:val="2"/>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20"/>
                <w:szCs w:val="22"/>
                <w:bdr w:val="nil"/>
                <w:lang w:val="en-US" w:eastAsia="en-US"/>
              </w:rPr>
            </w:pPr>
            <w:r>
              <w:rPr>
                <w:rFonts w:eastAsia="Arial" w:cs="Arial"/>
                <w:b/>
                <w:color w:val="000000"/>
                <w:sz w:val="20"/>
                <w:szCs w:val="22"/>
                <w:bdr w:val="nil"/>
                <w:lang w:val="en-US" w:eastAsia="en-US"/>
              </w:rPr>
              <w:lastRenderedPageBreak/>
              <w:t>DEMONSTRAÇÃO DO RESULTADO</w:t>
            </w: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nil"/>
              <w:left w:val="nil"/>
              <w:bottom w:val="single" w:sz="4" w:space="0" w:color="000000"/>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p>
        </w:tc>
        <w:tc>
          <w:tcPr>
            <w:tcW w:w="450" w:type="dxa"/>
            <w:tcBorders>
              <w:top w:val="nil"/>
              <w:left w:val="nil"/>
              <w:bottom w:val="single" w:sz="4" w:space="0" w:color="000000"/>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trPr>
        <w:tc>
          <w:tcPr>
            <w:tcW w:w="59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p>
        </w:tc>
        <w:tc>
          <w:tcPr>
            <w:tcW w:w="4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Exercício/2019</w:t>
            </w: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Exercício/2018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59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4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 xml:space="preserve">RECEITA OPERACIONAL LÍQUIDA </w:t>
            </w:r>
          </w:p>
        </w:tc>
        <w:tc>
          <w:tcPr>
            <w:tcW w:w="4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750.308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565.546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5955"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p>
        </w:tc>
        <w:tc>
          <w:tcPr>
            <w:tcW w:w="4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LUCRO BRUTO</w:t>
            </w:r>
          </w:p>
        </w:tc>
        <w:tc>
          <w:tcPr>
            <w:tcW w:w="4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750.308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565.546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5955"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4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595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OUTRAS RECEITAS / (DESPESAS) OPERACIONAIS</w:t>
            </w:r>
          </w:p>
        </w:tc>
        <w:tc>
          <w:tcPr>
            <w:tcW w:w="4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(431.149)</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(369.083)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nil"/>
              <w:left w:val="nil"/>
              <w:bottom w:val="nil"/>
              <w:right w:val="nil"/>
              <w:tl2br w:val="nil"/>
              <w:tr2bl w:val="nil"/>
            </w:tcBorders>
            <w:shd w:val="clear" w:color="auto" w:fill="auto"/>
            <w:noWrap/>
            <w:tcMar>
              <w:left w:w="22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Perdas na baixa de créditos adquiridos</w:t>
            </w:r>
          </w:p>
        </w:tc>
        <w:tc>
          <w:tcPr>
            <w:tcW w:w="4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5.e</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(211.597)</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(198.897)</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nil"/>
              <w:left w:val="nil"/>
              <w:bottom w:val="nil"/>
              <w:right w:val="nil"/>
              <w:tl2br w:val="nil"/>
              <w:tr2bl w:val="nil"/>
            </w:tcBorders>
            <w:shd w:val="clear" w:color="auto" w:fill="auto"/>
            <w:noWrap/>
            <w:tcMar>
              <w:left w:w="22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Despesas de serviços de cobrança</w:t>
            </w:r>
          </w:p>
        </w:tc>
        <w:tc>
          <w:tcPr>
            <w:tcW w:w="4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13.a</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(148.695)</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(105.914)</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nil"/>
              <w:left w:val="nil"/>
              <w:bottom w:val="nil"/>
              <w:right w:val="nil"/>
              <w:tl2br w:val="nil"/>
              <w:tr2bl w:val="nil"/>
            </w:tcBorders>
            <w:shd w:val="clear" w:color="auto" w:fill="auto"/>
            <w:noWrap/>
            <w:tcMar>
              <w:left w:w="22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Despesas administrativas</w:t>
            </w:r>
          </w:p>
        </w:tc>
        <w:tc>
          <w:tcPr>
            <w:tcW w:w="4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13.b</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(32.710)</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(30.912)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trPr>
        <w:tc>
          <w:tcPr>
            <w:tcW w:w="5955" w:type="dxa"/>
            <w:tcBorders>
              <w:top w:val="nil"/>
              <w:left w:val="nil"/>
              <w:bottom w:val="nil"/>
              <w:right w:val="nil"/>
              <w:tl2br w:val="nil"/>
              <w:tr2bl w:val="nil"/>
            </w:tcBorders>
            <w:shd w:val="clear" w:color="auto" w:fill="auto"/>
            <w:tcMar>
              <w:left w:w="22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Resultado de participação em coligadas e controladas</w:t>
            </w:r>
          </w:p>
        </w:tc>
        <w:tc>
          <w:tcPr>
            <w:tcW w:w="4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4.015</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3.710</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nil"/>
              <w:left w:val="nil"/>
              <w:bottom w:val="nil"/>
              <w:right w:val="nil"/>
              <w:tl2br w:val="nil"/>
              <w:tr2bl w:val="nil"/>
            </w:tcBorders>
            <w:shd w:val="clear" w:color="auto" w:fill="auto"/>
            <w:noWrap/>
            <w:tcMar>
              <w:left w:w="22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Outras receitas operacionais</w:t>
            </w:r>
          </w:p>
        </w:tc>
        <w:tc>
          <w:tcPr>
            <w:tcW w:w="4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13.c</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24.878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30.428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nil"/>
              <w:left w:val="nil"/>
              <w:bottom w:val="nil"/>
              <w:right w:val="nil"/>
              <w:tl2br w:val="nil"/>
              <w:tr2bl w:val="nil"/>
            </w:tcBorders>
            <w:shd w:val="clear" w:color="auto" w:fill="auto"/>
            <w:noWrap/>
            <w:tcMar>
              <w:left w:w="22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Outras despesas operacionais</w:t>
            </w:r>
          </w:p>
        </w:tc>
        <w:tc>
          <w:tcPr>
            <w:tcW w:w="4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13.d</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(67.040)</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(67.498)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80"/>
        </w:trPr>
        <w:tc>
          <w:tcPr>
            <w:tcW w:w="5955"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4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50"/>
        </w:trPr>
        <w:tc>
          <w:tcPr>
            <w:tcW w:w="6405" w:type="dxa"/>
            <w:gridSpan w:val="2"/>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RESULTADO ANTES DAS RECEITAS E DESPESAS FINANCEIRAS</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319.159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196.463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80"/>
        </w:trPr>
        <w:tc>
          <w:tcPr>
            <w:tcW w:w="5955"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4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RESULTADO FINANCEIRO</w:t>
            </w:r>
          </w:p>
        </w:tc>
        <w:tc>
          <w:tcPr>
            <w:tcW w:w="4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(756)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6.249</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nil"/>
              <w:left w:val="nil"/>
              <w:bottom w:val="nil"/>
              <w:right w:val="nil"/>
              <w:tl2br w:val="nil"/>
              <w:tr2bl w:val="nil"/>
            </w:tcBorders>
            <w:shd w:val="clear" w:color="auto" w:fill="auto"/>
            <w:noWrap/>
            <w:tcMar>
              <w:left w:w="22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Receitas financeiras</w:t>
            </w:r>
          </w:p>
        </w:tc>
        <w:tc>
          <w:tcPr>
            <w:tcW w:w="4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14.a</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9.036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15.749</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nil"/>
              <w:left w:val="nil"/>
              <w:bottom w:val="nil"/>
              <w:right w:val="nil"/>
              <w:tl2br w:val="nil"/>
              <w:tr2bl w:val="nil"/>
            </w:tcBorders>
            <w:shd w:val="clear" w:color="auto" w:fill="auto"/>
            <w:noWrap/>
            <w:tcMar>
              <w:left w:w="22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Despesas financeiras</w:t>
            </w:r>
          </w:p>
        </w:tc>
        <w:tc>
          <w:tcPr>
            <w:tcW w:w="4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14.b</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(9.792)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(9.500)</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35"/>
        </w:trPr>
        <w:tc>
          <w:tcPr>
            <w:tcW w:w="5955"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4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 xml:space="preserve">RESULTADO OPERACIONAL </w:t>
            </w:r>
          </w:p>
        </w:tc>
        <w:tc>
          <w:tcPr>
            <w:tcW w:w="4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318.403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202.712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95"/>
        </w:trPr>
        <w:tc>
          <w:tcPr>
            <w:tcW w:w="5955"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p>
        </w:tc>
        <w:tc>
          <w:tcPr>
            <w:tcW w:w="4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595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RESULTADO ANTES DOS TRIBUTOS E PARTICIPAÇÕES</w:t>
            </w:r>
          </w:p>
        </w:tc>
        <w:tc>
          <w:tcPr>
            <w:tcW w:w="4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318.403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202.712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5955"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4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595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IMPOSTO DE RENDA E CONTRIBUIÇÃO SOCIAL</w:t>
            </w:r>
          </w:p>
        </w:tc>
        <w:tc>
          <w:tcPr>
            <w:tcW w:w="4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16.a</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(105.855)</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(67.047)</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5955" w:type="dxa"/>
            <w:tcBorders>
              <w:top w:val="nil"/>
              <w:left w:val="nil"/>
              <w:bottom w:val="nil"/>
              <w:right w:val="nil"/>
              <w:tl2br w:val="nil"/>
              <w:tr2bl w:val="nil"/>
            </w:tcBorders>
            <w:shd w:val="clear" w:color="auto" w:fill="auto"/>
            <w:tcMar>
              <w:left w:w="22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Imposto de renda e contribuição social correntes</w:t>
            </w:r>
          </w:p>
        </w:tc>
        <w:tc>
          <w:tcPr>
            <w:tcW w:w="4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(107.979)</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(66.405)</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5955" w:type="dxa"/>
            <w:tcBorders>
              <w:top w:val="nil"/>
              <w:left w:val="nil"/>
              <w:bottom w:val="nil"/>
              <w:right w:val="nil"/>
              <w:tl2br w:val="nil"/>
              <w:tr2bl w:val="nil"/>
            </w:tcBorders>
            <w:shd w:val="clear" w:color="auto" w:fill="auto"/>
            <w:tcMar>
              <w:left w:w="22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Imposto de renda e contribuição social diferidos</w:t>
            </w:r>
          </w:p>
        </w:tc>
        <w:tc>
          <w:tcPr>
            <w:tcW w:w="4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2.124</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(642)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95"/>
        </w:trPr>
        <w:tc>
          <w:tcPr>
            <w:tcW w:w="5955"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4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 xml:space="preserve">PARTICIPAÇÕES NO LUCRO </w:t>
            </w:r>
          </w:p>
        </w:tc>
        <w:tc>
          <w:tcPr>
            <w:tcW w:w="4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(2.480)</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(2.007)</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80"/>
        </w:trPr>
        <w:tc>
          <w:tcPr>
            <w:tcW w:w="5955"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4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nil"/>
              <w:left w:val="nil"/>
              <w:bottom w:val="single" w:sz="4" w:space="0" w:color="000000"/>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 xml:space="preserve">LUCRO LÍQUIDO </w:t>
            </w:r>
          </w:p>
        </w:tc>
        <w:tc>
          <w:tcPr>
            <w:tcW w:w="450" w:type="dxa"/>
            <w:tcBorders>
              <w:top w:val="nil"/>
              <w:left w:val="nil"/>
              <w:bottom w:val="single" w:sz="4" w:space="0" w:color="000000"/>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210.068</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133.658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single" w:sz="4" w:space="0" w:color="000000"/>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Número de ações</w:t>
            </w:r>
          </w:p>
        </w:tc>
        <w:tc>
          <w:tcPr>
            <w:tcW w:w="450" w:type="dxa"/>
            <w:tcBorders>
              <w:top w:val="single" w:sz="4" w:space="0" w:color="000000"/>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single" w:sz="4" w:space="0" w:color="000000"/>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656.102.904</w:t>
            </w:r>
          </w:p>
        </w:tc>
        <w:tc>
          <w:tcPr>
            <w:tcW w:w="1650" w:type="dxa"/>
            <w:tcBorders>
              <w:top w:val="single" w:sz="4" w:space="0" w:color="000000"/>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656.102.904</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 xml:space="preserve"> Ordinárias</w:t>
            </w:r>
          </w:p>
        </w:tc>
        <w:tc>
          <w:tcPr>
            <w:tcW w:w="4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328.051.452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328.051.452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 xml:space="preserve"> Preferenciais</w:t>
            </w:r>
          </w:p>
        </w:tc>
        <w:tc>
          <w:tcPr>
            <w:tcW w:w="4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328.051.452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328.051.452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Lucro por ação (R$)</w:t>
            </w:r>
          </w:p>
        </w:tc>
        <w:tc>
          <w:tcPr>
            <w:tcW w:w="4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 xml:space="preserve"> Ordinária</w:t>
            </w:r>
          </w:p>
        </w:tc>
        <w:tc>
          <w:tcPr>
            <w:tcW w:w="4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0,30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0,19</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trPr>
        <w:tc>
          <w:tcPr>
            <w:tcW w:w="5955" w:type="dxa"/>
            <w:tcBorders>
              <w:top w:val="nil"/>
              <w:left w:val="nil"/>
              <w:bottom w:val="single" w:sz="4"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 xml:space="preserve"> Preferencial </w:t>
            </w:r>
            <w:r>
              <w:rPr>
                <w:rFonts w:eastAsia="Arial" w:cs="Arial"/>
                <w:color w:val="000000"/>
                <w:sz w:val="16"/>
                <w:szCs w:val="22"/>
                <w:bdr w:val="nil"/>
                <w:vertAlign w:val="superscript"/>
                <w:lang w:val="en-US" w:eastAsia="en-US"/>
              </w:rPr>
              <w:t>(1)</w:t>
            </w:r>
          </w:p>
        </w:tc>
        <w:tc>
          <w:tcPr>
            <w:tcW w:w="450" w:type="dxa"/>
            <w:tcBorders>
              <w:top w:val="nil"/>
              <w:left w:val="nil"/>
              <w:bottom w:val="single" w:sz="4" w:space="0" w:color="000000"/>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0,34</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0,21</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80"/>
        </w:trPr>
        <w:tc>
          <w:tcPr>
            <w:tcW w:w="9705" w:type="dxa"/>
            <w:gridSpan w:val="4"/>
            <w:tcBorders>
              <w:top w:val="single" w:sz="4" w:space="0" w:color="000000"/>
              <w:left w:val="nil"/>
              <w:bottom w:val="nil"/>
              <w:right w:val="nil"/>
              <w:tl2br w:val="nil"/>
              <w:tr2bl w:val="nil"/>
            </w:tcBorders>
            <w:shd w:val="clear" w:color="auto" w:fill="auto"/>
            <w:tcMar>
              <w:left w:w="40" w:type="dxa"/>
              <w:right w:w="40" w:type="dxa"/>
            </w:tcMa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(1) As ações preferenciais dão direito ao recebimento de dividendos, por ação, pelo menos 10% (dez por cento) maior do que atribuído a cada ação ordinária.</w:t>
            </w:r>
          </w:p>
        </w:tc>
      </w:tr>
    </w:tbl>
    <w:p w:rsidR="00BC7AF3" w:rsidRDefault="00BC7AF3" w:rsidP="00AC02BF">
      <w:pPr>
        <w:pBdr>
          <w:top w:val="nil"/>
          <w:left w:val="nil"/>
          <w:bottom w:val="nil"/>
          <w:right w:val="nil"/>
          <w:between w:val="nil"/>
          <w:bar w:val="nil"/>
        </w:pBdr>
        <w:spacing w:before="0" w:after="200"/>
        <w:jc w:val="left"/>
        <w:rPr>
          <w:rFonts w:eastAsia="Calibri" w:cs="Arial"/>
          <w:sz w:val="14"/>
          <w:szCs w:val="14"/>
          <w:bdr w:val="nil"/>
          <w:lang w:val="en-US" w:eastAsia="en-US"/>
        </w:rPr>
      </w:pPr>
    </w:p>
    <w:tbl>
      <w:tblPr>
        <w:tblW w:w="9705" w:type="dxa"/>
        <w:tblLayout w:type="fixed"/>
        <w:tblLook w:val="0600" w:firstRow="0" w:lastRow="0" w:firstColumn="0" w:lastColumn="0" w:noHBand="1" w:noVBand="1"/>
        <w:tblCaption w:val="DRA"/>
      </w:tblPr>
      <w:tblGrid>
        <w:gridCol w:w="5955"/>
        <w:gridCol w:w="450"/>
        <w:gridCol w:w="1650"/>
        <w:gridCol w:w="1650"/>
      </w:tblGrid>
      <w:tr w:rsidR="00566CE2">
        <w:trPr>
          <w:cantSplit/>
          <w:trHeight w:hRule="exact" w:val="255"/>
        </w:trPr>
        <w:tc>
          <w:tcPr>
            <w:tcW w:w="6405" w:type="dxa"/>
            <w:gridSpan w:val="2"/>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20"/>
                <w:szCs w:val="22"/>
                <w:bdr w:val="nil"/>
                <w:lang w:val="en-US" w:eastAsia="en-US"/>
              </w:rPr>
            </w:pPr>
            <w:r>
              <w:rPr>
                <w:rFonts w:eastAsia="Arial" w:cs="Arial"/>
                <w:b/>
                <w:color w:val="000000"/>
                <w:sz w:val="20"/>
                <w:szCs w:val="22"/>
                <w:bdr w:val="nil"/>
                <w:lang w:val="en-US" w:eastAsia="en-US"/>
              </w:rPr>
              <w:t>DEMONSTRAÇÃO DO RESULTADO ABRANGENTE</w:t>
            </w: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4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59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p>
        </w:tc>
        <w:tc>
          <w:tcPr>
            <w:tcW w:w="45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Exercício/2019</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Exercício/2018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LUCRO LÍQUIDO DO PERÍODO</w:t>
            </w:r>
          </w:p>
        </w:tc>
        <w:tc>
          <w:tcPr>
            <w:tcW w:w="4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210.068</w:t>
            </w: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133.658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Outros resultados abrangentes</w:t>
            </w:r>
          </w:p>
        </w:tc>
        <w:tc>
          <w:tcPr>
            <w:tcW w:w="4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Efeitos dos impostos</w:t>
            </w:r>
          </w:p>
        </w:tc>
        <w:tc>
          <w:tcPr>
            <w:tcW w:w="4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05"/>
        </w:trPr>
        <w:tc>
          <w:tcPr>
            <w:tcW w:w="5955" w:type="dxa"/>
            <w:tcBorders>
              <w:top w:val="nil"/>
              <w:left w:val="nil"/>
              <w:bottom w:val="single" w:sz="4" w:space="0" w:color="000000"/>
              <w:right w:val="nil"/>
              <w:tl2br w:val="nil"/>
              <w:tr2bl w:val="nil"/>
            </w:tcBorders>
            <w:shd w:val="clear" w:color="FFFFFF" w:fill="FFFFFF"/>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RESULTADO ABRANGENTE DO PERÍODO</w:t>
            </w:r>
          </w:p>
        </w:tc>
        <w:tc>
          <w:tcPr>
            <w:tcW w:w="4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210.068</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133.658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trPr>
        <w:tc>
          <w:tcPr>
            <w:tcW w:w="9705" w:type="dxa"/>
            <w:gridSpan w:val="4"/>
            <w:tcBorders>
              <w:top w:val="single" w:sz="4" w:space="0" w:color="000000"/>
              <w:left w:val="nil"/>
              <w:bottom w:val="nil"/>
              <w:right w:val="nil"/>
              <w:tl2br w:val="nil"/>
              <w:tr2bl w:val="nil"/>
            </w:tcBorders>
            <w:shd w:val="clear" w:color="FFFFFF" w:fill="FFFFFF"/>
            <w:tcMar>
              <w:left w:w="40" w:type="dxa"/>
              <w:right w:w="40" w:type="dxa"/>
            </w:tcMa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As notas explicativas são parte integrante das demonstrações contábeis.</w:t>
            </w:r>
          </w:p>
        </w:tc>
      </w:tr>
    </w:tbl>
    <w:p w:rsidR="00566CE2" w:rsidRDefault="00566CE2">
      <w:pPr>
        <w:sectPr w:rsidR="00566CE2">
          <w:headerReference w:type="even" r:id="rId19"/>
          <w:headerReference w:type="default" r:id="rId20"/>
          <w:footerReference w:type="even" r:id="rId21"/>
          <w:footerReference w:type="default" r:id="rId22"/>
          <w:headerReference w:type="first" r:id="rId23"/>
          <w:footerReference w:type="first" r:id="rId24"/>
          <w:type w:val="continuous"/>
          <w:pgSz w:w="11906" w:h="16838"/>
          <w:pgMar w:top="1134" w:right="1134" w:bottom="1134" w:left="1134" w:header="425" w:footer="425" w:gutter="0"/>
          <w:pgBorders>
            <w:top w:val="nil"/>
            <w:left w:val="nil"/>
            <w:bottom w:val="nil"/>
            <w:right w:val="nil"/>
          </w:pgBorders>
          <w:cols w:space="708"/>
        </w:sectPr>
      </w:pPr>
    </w:p>
    <w:tbl>
      <w:tblPr>
        <w:tblStyle w:val="CDMRange2"/>
        <w:tblW w:w="14565" w:type="dxa"/>
        <w:tblLayout w:type="fixed"/>
        <w:tblLook w:val="0600" w:firstRow="0" w:lastRow="0" w:firstColumn="0" w:lastColumn="0" w:noHBand="1" w:noVBand="1"/>
      </w:tblPr>
      <w:tblGrid>
        <w:gridCol w:w="7200"/>
        <w:gridCol w:w="1065"/>
        <w:gridCol w:w="1260"/>
        <w:gridCol w:w="1260"/>
        <w:gridCol w:w="1260"/>
        <w:gridCol w:w="1260"/>
        <w:gridCol w:w="1260"/>
      </w:tblGrid>
      <w:tr w:rsidR="00566CE2">
        <w:trPr>
          <w:trHeight w:hRule="exact" w:val="225"/>
        </w:trPr>
        <w:tc>
          <w:tcPr>
            <w:tcW w:w="720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pageBreakBefore/>
              <w:spacing w:before="0"/>
              <w:jc w:val="right"/>
              <w:rPr>
                <w:rFonts w:eastAsia="Arial" w:cs="Arial"/>
                <w:b/>
                <w:color w:val="000000"/>
                <w:sz w:val="16"/>
                <w:szCs w:val="24"/>
                <w:lang w:eastAsia="en-US"/>
              </w:rPr>
            </w:pPr>
          </w:p>
        </w:tc>
        <w:tc>
          <w:tcPr>
            <w:tcW w:w="106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720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c>
          <w:tcPr>
            <w:tcW w:w="106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720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Cs w:val="24"/>
                <w:lang w:eastAsia="en-US"/>
              </w:rPr>
            </w:pPr>
            <w:r>
              <w:rPr>
                <w:rFonts w:eastAsia="Arial" w:cs="Arial"/>
                <w:b/>
                <w:color w:val="000000"/>
                <w:szCs w:val="24"/>
                <w:lang w:eastAsia="en-US"/>
              </w:rPr>
              <w:t>DEMONSTRAÇÃO DAS MUTAÇÕES DO PATRIMÔNIO LÍQUIDO</w:t>
            </w:r>
          </w:p>
        </w:tc>
        <w:tc>
          <w:tcPr>
            <w:tcW w:w="106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b/>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126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720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1065" w:type="dxa"/>
            <w:tcBorders>
              <w:top w:val="nil"/>
              <w:left w:val="nil"/>
              <w:bottom w:val="single" w:sz="8" w:space="0" w:color="000000"/>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126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126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126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2520" w:type="dxa"/>
            <w:gridSpan w:val="2"/>
            <w:tcBorders>
              <w:top w:val="nil"/>
              <w:left w:val="nil"/>
              <w:bottom w:val="single" w:sz="8" w:space="0" w:color="000000"/>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7200" w:type="dxa"/>
            <w:vMerge w:val="restart"/>
            <w:tcBorders>
              <w:top w:val="single" w:sz="8" w:space="0" w:color="000000"/>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 xml:space="preserve">           EVENTOS</w:t>
            </w:r>
          </w:p>
        </w:tc>
        <w:tc>
          <w:tcPr>
            <w:tcW w:w="1065" w:type="dxa"/>
            <w:vMerge w:val="restart"/>
            <w:tcBorders>
              <w:top w:val="single" w:sz="8" w:space="0" w:color="000000"/>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center"/>
              <w:rPr>
                <w:rFonts w:eastAsia="Arial" w:cs="Arial"/>
                <w:b/>
                <w:color w:val="000000"/>
                <w:sz w:val="16"/>
                <w:szCs w:val="24"/>
                <w:lang w:eastAsia="en-US"/>
              </w:rPr>
            </w:pPr>
            <w:r>
              <w:rPr>
                <w:rFonts w:eastAsia="Arial" w:cs="Arial"/>
                <w:b/>
                <w:color w:val="000000"/>
                <w:sz w:val="16"/>
                <w:szCs w:val="24"/>
                <w:lang w:eastAsia="en-US"/>
              </w:rPr>
              <w:t>Nota</w:t>
            </w:r>
          </w:p>
        </w:tc>
        <w:tc>
          <w:tcPr>
            <w:tcW w:w="1260" w:type="dxa"/>
            <w:tcBorders>
              <w:top w:val="single" w:sz="8" w:space="0" w:color="000000"/>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Capital</w:t>
            </w:r>
          </w:p>
        </w:tc>
        <w:tc>
          <w:tcPr>
            <w:tcW w:w="2520" w:type="dxa"/>
            <w:gridSpan w:val="2"/>
            <w:tcBorders>
              <w:top w:val="single" w:sz="8" w:space="0" w:color="000000"/>
              <w:left w:val="nil"/>
              <w:bottom w:val="single" w:sz="4" w:space="0" w:color="000000"/>
              <w:right w:val="nil"/>
              <w:tl2br w:val="nil"/>
              <w:tr2bl w:val="nil"/>
            </w:tcBorders>
            <w:shd w:val="clear" w:color="FFFFFF" w:fill="FFFFFF"/>
            <w:noWrap/>
            <w:tcMar>
              <w:left w:w="40" w:type="dxa"/>
              <w:right w:w="40" w:type="dxa"/>
            </w:tcMar>
            <w:vAlign w:val="center"/>
          </w:tcPr>
          <w:p w:rsidR="00566CE2" w:rsidRDefault="00A82039">
            <w:pPr>
              <w:spacing w:before="0"/>
              <w:jc w:val="center"/>
              <w:rPr>
                <w:rFonts w:eastAsia="Arial" w:cs="Arial"/>
                <w:b/>
                <w:color w:val="000000"/>
                <w:sz w:val="16"/>
                <w:szCs w:val="24"/>
                <w:lang w:eastAsia="en-US"/>
              </w:rPr>
            </w:pPr>
            <w:r>
              <w:rPr>
                <w:rFonts w:eastAsia="Arial" w:cs="Arial"/>
                <w:b/>
                <w:color w:val="000000"/>
                <w:sz w:val="16"/>
                <w:szCs w:val="24"/>
                <w:lang w:eastAsia="en-US"/>
              </w:rPr>
              <w:t>Reservas de Lucros</w:t>
            </w:r>
          </w:p>
        </w:tc>
        <w:tc>
          <w:tcPr>
            <w:tcW w:w="1260" w:type="dxa"/>
            <w:tcBorders>
              <w:top w:val="single" w:sz="8" w:space="0" w:color="000000"/>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Lucros</w:t>
            </w:r>
          </w:p>
        </w:tc>
        <w:tc>
          <w:tcPr>
            <w:tcW w:w="1260" w:type="dxa"/>
            <w:vMerge w:val="restart"/>
            <w:tcBorders>
              <w:top w:val="single" w:sz="8" w:space="0" w:color="000000"/>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Total</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7200" w:type="dxa"/>
            <w:vMerge/>
            <w:tcBorders>
              <w:top w:val="nil"/>
              <w:left w:val="nil"/>
              <w:bottom w:val="single" w:sz="8" w:space="0" w:color="000000"/>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b/>
                <w:color w:val="000000"/>
                <w:sz w:val="16"/>
                <w:szCs w:val="24"/>
                <w:lang w:eastAsia="en-US"/>
              </w:rPr>
            </w:pPr>
          </w:p>
        </w:tc>
        <w:tc>
          <w:tcPr>
            <w:tcW w:w="1065" w:type="dxa"/>
            <w:vMerge/>
            <w:tcBorders>
              <w:top w:val="nil"/>
              <w:left w:val="nil"/>
              <w:bottom w:val="single" w:sz="8" w:space="0" w:color="000000"/>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b/>
                <w:color w:val="000000"/>
                <w:sz w:val="16"/>
                <w:szCs w:val="24"/>
                <w:lang w:eastAsia="en-US"/>
              </w:rPr>
            </w:pPr>
          </w:p>
        </w:tc>
        <w:tc>
          <w:tcPr>
            <w:tcW w:w="1260" w:type="dxa"/>
            <w:tcBorders>
              <w:top w:val="nil"/>
              <w:left w:val="nil"/>
              <w:bottom w:val="single" w:sz="8" w:space="0" w:color="000000"/>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Realizado</w:t>
            </w:r>
          </w:p>
        </w:tc>
        <w:tc>
          <w:tcPr>
            <w:tcW w:w="1260" w:type="dxa"/>
            <w:tcBorders>
              <w:top w:val="single" w:sz="4" w:space="0" w:color="000000"/>
              <w:left w:val="nil"/>
              <w:bottom w:val="single" w:sz="8" w:space="0" w:color="000000"/>
              <w:right w:val="nil"/>
              <w:tl2br w:val="nil"/>
              <w:tr2bl w:val="nil"/>
            </w:tcBorders>
            <w:shd w:val="clear" w:color="FFFFFF" w:fill="FFFFFF"/>
            <w:tcMar>
              <w:left w:w="40" w:type="dxa"/>
              <w:right w:w="4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Legal</w:t>
            </w:r>
          </w:p>
        </w:tc>
        <w:tc>
          <w:tcPr>
            <w:tcW w:w="1260" w:type="dxa"/>
            <w:tcBorders>
              <w:top w:val="single" w:sz="4" w:space="0" w:color="000000"/>
              <w:left w:val="nil"/>
              <w:bottom w:val="single" w:sz="8" w:space="0" w:color="000000"/>
              <w:right w:val="nil"/>
              <w:tl2br w:val="nil"/>
              <w:tr2bl w:val="nil"/>
            </w:tcBorders>
            <w:shd w:val="clear" w:color="FFFFFF" w:fill="FFFFFF"/>
            <w:tcMar>
              <w:left w:w="40" w:type="dxa"/>
              <w:right w:w="4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Estatutária</w:t>
            </w:r>
          </w:p>
        </w:tc>
        <w:tc>
          <w:tcPr>
            <w:tcW w:w="1260" w:type="dxa"/>
            <w:tcBorders>
              <w:top w:val="nil"/>
              <w:left w:val="nil"/>
              <w:bottom w:val="single" w:sz="8" w:space="0" w:color="000000"/>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Acumulados</w:t>
            </w:r>
          </w:p>
        </w:tc>
        <w:tc>
          <w:tcPr>
            <w:tcW w:w="1260" w:type="dxa"/>
            <w:vMerge/>
            <w:tcBorders>
              <w:top w:val="nil"/>
              <w:left w:val="nil"/>
              <w:bottom w:val="single" w:sz="8" w:space="0" w:color="000000"/>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7200" w:type="dxa"/>
            <w:tcBorders>
              <w:top w:val="single" w:sz="8" w:space="0" w:color="000000"/>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Saldos em 31.12.2017</w:t>
            </w:r>
          </w:p>
        </w:tc>
        <w:tc>
          <w:tcPr>
            <w:tcW w:w="1065" w:type="dxa"/>
            <w:tcBorders>
              <w:top w:val="single" w:sz="8"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b/>
                <w:color w:val="000000"/>
                <w:sz w:val="16"/>
                <w:szCs w:val="24"/>
                <w:lang w:eastAsia="en-US"/>
              </w:rPr>
            </w:pPr>
          </w:p>
        </w:tc>
        <w:tc>
          <w:tcPr>
            <w:tcW w:w="1260"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656.103</w:t>
            </w:r>
          </w:p>
        </w:tc>
        <w:tc>
          <w:tcPr>
            <w:tcW w:w="1260"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49.461</w:t>
            </w:r>
          </w:p>
        </w:tc>
        <w:tc>
          <w:tcPr>
            <w:tcW w:w="1260"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189.846</w:t>
            </w:r>
          </w:p>
        </w:tc>
        <w:tc>
          <w:tcPr>
            <w:tcW w:w="1260"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1260"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895.410</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720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 xml:space="preserve">Lucro líquido do período </w:t>
            </w:r>
          </w:p>
        </w:tc>
        <w:tc>
          <w:tcPr>
            <w:tcW w:w="106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1260" w:type="dxa"/>
            <w:tcBorders>
              <w:top w:val="nil"/>
              <w:left w:val="nil"/>
              <w:bottom w:val="nil"/>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133.658</w:t>
            </w:r>
          </w:p>
        </w:tc>
        <w:tc>
          <w:tcPr>
            <w:tcW w:w="1260" w:type="dxa"/>
            <w:tcBorders>
              <w:top w:val="nil"/>
              <w:left w:val="nil"/>
              <w:bottom w:val="nil"/>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133.658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720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Destinações:</w:t>
            </w:r>
          </w:p>
        </w:tc>
        <w:tc>
          <w:tcPr>
            <w:tcW w:w="106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260" w:type="dxa"/>
            <w:tcBorders>
              <w:top w:val="nil"/>
              <w:left w:val="nil"/>
              <w:bottom w:val="nil"/>
              <w:right w:val="nil"/>
              <w:tl2br w:val="nil"/>
              <w:tr2bl w:val="nil"/>
            </w:tcBorders>
            <w:shd w:val="clear" w:color="FFFFFF" w:fill="FFFFFF"/>
            <w:tcMar>
              <w:left w:w="0" w:type="dxa"/>
              <w:right w:w="0" w:type="dxa"/>
            </w:tcMar>
            <w:vAlign w:val="center"/>
          </w:tcPr>
          <w:p w:rsidR="00566CE2" w:rsidRDefault="00566CE2">
            <w:pPr>
              <w:spacing w:before="0"/>
              <w:jc w:val="right"/>
              <w:rPr>
                <w:rFonts w:eastAsia="Arial" w:cs="Arial"/>
                <w:color w:val="000000"/>
                <w:sz w:val="16"/>
                <w:szCs w:val="24"/>
                <w:lang w:eastAsia="en-US"/>
              </w:rPr>
            </w:pPr>
          </w:p>
        </w:tc>
        <w:tc>
          <w:tcPr>
            <w:tcW w:w="1260" w:type="dxa"/>
            <w:tcBorders>
              <w:top w:val="nil"/>
              <w:left w:val="nil"/>
              <w:bottom w:val="nil"/>
              <w:right w:val="nil"/>
              <w:tl2br w:val="nil"/>
              <w:tr2bl w:val="nil"/>
            </w:tcBorders>
            <w:shd w:val="clear" w:color="FFFFFF" w:fill="FFFFFF"/>
            <w:tcMar>
              <w:left w:w="0" w:type="dxa"/>
              <w:right w:w="0" w:type="dxa"/>
            </w:tcMar>
            <w:vAlign w:val="center"/>
          </w:tcPr>
          <w:p w:rsidR="00566CE2" w:rsidRDefault="00566CE2">
            <w:pPr>
              <w:spacing w:before="0"/>
              <w:jc w:val="right"/>
              <w:rPr>
                <w:rFonts w:eastAsia="Arial" w:cs="Arial"/>
                <w:color w:val="000000"/>
                <w:sz w:val="16"/>
                <w:szCs w:val="24"/>
                <w:lang w:eastAsia="en-US"/>
              </w:rPr>
            </w:pPr>
          </w:p>
        </w:tc>
        <w:tc>
          <w:tcPr>
            <w:tcW w:w="1260" w:type="dxa"/>
            <w:tcBorders>
              <w:top w:val="nil"/>
              <w:left w:val="nil"/>
              <w:bottom w:val="nil"/>
              <w:right w:val="nil"/>
              <w:tl2br w:val="nil"/>
              <w:tr2bl w:val="nil"/>
            </w:tcBorders>
            <w:shd w:val="clear" w:color="FFFFFF" w:fill="FFFFFF"/>
            <w:tcMar>
              <w:left w:w="0" w:type="dxa"/>
              <w:right w:w="0" w:type="dxa"/>
            </w:tcMar>
            <w:vAlign w:val="center"/>
          </w:tcPr>
          <w:p w:rsidR="00566CE2" w:rsidRDefault="00566CE2">
            <w:pPr>
              <w:spacing w:before="0"/>
              <w:jc w:val="right"/>
              <w:rPr>
                <w:rFonts w:eastAsia="Arial" w:cs="Arial"/>
                <w:color w:val="000000"/>
                <w:sz w:val="16"/>
                <w:szCs w:val="24"/>
                <w:lang w:eastAsia="en-US"/>
              </w:rPr>
            </w:pPr>
          </w:p>
        </w:tc>
        <w:tc>
          <w:tcPr>
            <w:tcW w:w="1260" w:type="dxa"/>
            <w:tcBorders>
              <w:top w:val="nil"/>
              <w:left w:val="nil"/>
              <w:bottom w:val="nil"/>
              <w:right w:val="nil"/>
              <w:tl2br w:val="nil"/>
              <w:tr2bl w:val="nil"/>
            </w:tcBorders>
            <w:shd w:val="clear" w:color="FFFFFF" w:fill="FFFFFF"/>
            <w:tcMar>
              <w:left w:w="0" w:type="dxa"/>
              <w:right w:w="0" w:type="dxa"/>
            </w:tcMar>
            <w:vAlign w:val="center"/>
          </w:tcPr>
          <w:p w:rsidR="00566CE2" w:rsidRDefault="00566CE2">
            <w:pPr>
              <w:spacing w:before="0"/>
              <w:jc w:val="right"/>
              <w:rPr>
                <w:rFonts w:eastAsia="Arial" w:cs="Arial"/>
                <w:color w:val="000000"/>
                <w:sz w:val="16"/>
                <w:szCs w:val="24"/>
                <w:lang w:eastAsia="en-US"/>
              </w:rPr>
            </w:pPr>
          </w:p>
        </w:tc>
        <w:tc>
          <w:tcPr>
            <w:tcW w:w="1260" w:type="dxa"/>
            <w:tcBorders>
              <w:top w:val="nil"/>
              <w:left w:val="nil"/>
              <w:bottom w:val="nil"/>
              <w:right w:val="nil"/>
              <w:tl2br w:val="nil"/>
              <w:tr2bl w:val="nil"/>
            </w:tcBorders>
            <w:shd w:val="clear" w:color="FFFFFF" w:fill="FFFFFF"/>
            <w:tcMar>
              <w:left w:w="0" w:type="dxa"/>
              <w:right w:w="0" w:type="dxa"/>
            </w:tcMar>
            <w:vAlign w:val="center"/>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720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 xml:space="preserve">    Reservas</w:t>
            </w:r>
          </w:p>
        </w:tc>
        <w:tc>
          <w:tcPr>
            <w:tcW w:w="1065"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15.d</w:t>
            </w:r>
          </w:p>
        </w:tc>
        <w:tc>
          <w:tcPr>
            <w:tcW w:w="1260" w:type="dxa"/>
            <w:tcBorders>
              <w:top w:val="nil"/>
              <w:left w:val="nil"/>
              <w:bottom w:val="nil"/>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6.683</w:t>
            </w:r>
          </w:p>
        </w:tc>
        <w:tc>
          <w:tcPr>
            <w:tcW w:w="1260" w:type="dxa"/>
            <w:tcBorders>
              <w:top w:val="nil"/>
              <w:left w:val="nil"/>
              <w:bottom w:val="nil"/>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(6.683)</w:t>
            </w:r>
          </w:p>
        </w:tc>
        <w:tc>
          <w:tcPr>
            <w:tcW w:w="1260" w:type="dxa"/>
            <w:tcBorders>
              <w:top w:val="nil"/>
              <w:left w:val="nil"/>
              <w:bottom w:val="nil"/>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720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 xml:space="preserve">    Dividendos (R$ 193,53 por lote de mil ações)</w:t>
            </w:r>
          </w:p>
        </w:tc>
        <w:tc>
          <w:tcPr>
            <w:tcW w:w="1065"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15.d</w:t>
            </w:r>
          </w:p>
        </w:tc>
        <w:tc>
          <w:tcPr>
            <w:tcW w:w="1260" w:type="dxa"/>
            <w:tcBorders>
              <w:top w:val="nil"/>
              <w:left w:val="nil"/>
              <w:bottom w:val="nil"/>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FFFFFF" w:fill="FFFFFF"/>
            <w:tcMar>
              <w:left w:w="40" w:type="dxa"/>
              <w:right w:w="4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(126.975)</w:t>
            </w:r>
          </w:p>
        </w:tc>
        <w:tc>
          <w:tcPr>
            <w:tcW w:w="1260" w:type="dxa"/>
            <w:tcBorders>
              <w:top w:val="nil"/>
              <w:left w:val="nil"/>
              <w:bottom w:val="nil"/>
              <w:right w:val="nil"/>
              <w:tl2br w:val="nil"/>
              <w:tr2bl w:val="nil"/>
            </w:tcBorders>
            <w:shd w:val="clear" w:color="FFFFFF" w:fill="FFFFFF"/>
            <w:tcMar>
              <w:left w:w="40" w:type="dxa"/>
              <w:right w:w="4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(126.975)</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7200" w:type="dxa"/>
            <w:tcBorders>
              <w:top w:val="nil"/>
              <w:left w:val="nil"/>
              <w:bottom w:val="single" w:sz="8" w:space="0" w:color="000000"/>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Saldos em 31.12.2018</w:t>
            </w:r>
          </w:p>
        </w:tc>
        <w:tc>
          <w:tcPr>
            <w:tcW w:w="1065" w:type="dxa"/>
            <w:tcBorders>
              <w:top w:val="nil"/>
              <w:left w:val="nil"/>
              <w:bottom w:val="single" w:sz="8" w:space="0" w:color="000000"/>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b/>
                <w:color w:val="FF0000"/>
                <w:sz w:val="16"/>
                <w:szCs w:val="24"/>
                <w:lang w:eastAsia="en-US"/>
              </w:rPr>
            </w:pPr>
          </w:p>
        </w:tc>
        <w:tc>
          <w:tcPr>
            <w:tcW w:w="1260" w:type="dxa"/>
            <w:tcBorders>
              <w:top w:val="nil"/>
              <w:left w:val="nil"/>
              <w:bottom w:val="single" w:sz="8" w:space="0" w:color="000000"/>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656.103</w:t>
            </w:r>
          </w:p>
        </w:tc>
        <w:tc>
          <w:tcPr>
            <w:tcW w:w="1260" w:type="dxa"/>
            <w:tcBorders>
              <w:top w:val="nil"/>
              <w:left w:val="nil"/>
              <w:bottom w:val="single" w:sz="8" w:space="0" w:color="000000"/>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56.144</w:t>
            </w:r>
          </w:p>
        </w:tc>
        <w:tc>
          <w:tcPr>
            <w:tcW w:w="1260" w:type="dxa"/>
            <w:tcBorders>
              <w:top w:val="nil"/>
              <w:left w:val="nil"/>
              <w:bottom w:val="single" w:sz="8" w:space="0" w:color="000000"/>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189.846</w:t>
            </w:r>
          </w:p>
        </w:tc>
        <w:tc>
          <w:tcPr>
            <w:tcW w:w="1260" w:type="dxa"/>
            <w:tcBorders>
              <w:top w:val="nil"/>
              <w:left w:val="nil"/>
              <w:bottom w:val="single" w:sz="8" w:space="0" w:color="000000"/>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1260" w:type="dxa"/>
            <w:tcBorders>
              <w:top w:val="nil"/>
              <w:left w:val="nil"/>
              <w:bottom w:val="single" w:sz="8" w:space="0" w:color="000000"/>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902.093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7200"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 xml:space="preserve">Mutações do período </w:t>
            </w:r>
          </w:p>
        </w:tc>
        <w:tc>
          <w:tcPr>
            <w:tcW w:w="1065" w:type="dxa"/>
            <w:tcBorders>
              <w:top w:val="single" w:sz="8" w:space="0" w:color="000000"/>
              <w:left w:val="nil"/>
              <w:bottom w:val="single" w:sz="8" w:space="0" w:color="000000"/>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b/>
                <w:color w:val="000000"/>
                <w:sz w:val="16"/>
                <w:szCs w:val="24"/>
                <w:lang w:eastAsia="en-US"/>
              </w:rPr>
            </w:pPr>
          </w:p>
        </w:tc>
        <w:tc>
          <w:tcPr>
            <w:tcW w:w="1260"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1260"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6.683</w:t>
            </w:r>
          </w:p>
        </w:tc>
        <w:tc>
          <w:tcPr>
            <w:tcW w:w="1260"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1260"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1260"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6.683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7200" w:type="dxa"/>
            <w:tcBorders>
              <w:top w:val="single" w:sz="8" w:space="0" w:color="000000"/>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Saldos em 31.12.2018</w:t>
            </w:r>
          </w:p>
        </w:tc>
        <w:tc>
          <w:tcPr>
            <w:tcW w:w="1065" w:type="dxa"/>
            <w:tcBorders>
              <w:top w:val="single" w:sz="8"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b/>
                <w:color w:val="000000"/>
                <w:sz w:val="16"/>
                <w:szCs w:val="24"/>
                <w:lang w:eastAsia="en-US"/>
              </w:rPr>
            </w:pPr>
          </w:p>
        </w:tc>
        <w:tc>
          <w:tcPr>
            <w:tcW w:w="1260"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656.103</w:t>
            </w:r>
          </w:p>
        </w:tc>
        <w:tc>
          <w:tcPr>
            <w:tcW w:w="1260"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56.144</w:t>
            </w:r>
          </w:p>
        </w:tc>
        <w:tc>
          <w:tcPr>
            <w:tcW w:w="1260"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189.846</w:t>
            </w:r>
          </w:p>
        </w:tc>
        <w:tc>
          <w:tcPr>
            <w:tcW w:w="1260"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1260"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902.093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720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 xml:space="preserve">Lucro líquido do período </w:t>
            </w:r>
          </w:p>
        </w:tc>
        <w:tc>
          <w:tcPr>
            <w:tcW w:w="106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26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210.068</w:t>
            </w:r>
          </w:p>
        </w:tc>
        <w:tc>
          <w:tcPr>
            <w:tcW w:w="126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210.068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720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Destinações:</w:t>
            </w:r>
          </w:p>
        </w:tc>
        <w:tc>
          <w:tcPr>
            <w:tcW w:w="106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260"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1260"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1260"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1260"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spacing w:before="0"/>
              <w:jc w:val="right"/>
              <w:rPr>
                <w:rFonts w:eastAsia="Arial" w:cs="Arial"/>
                <w:color w:val="000000"/>
                <w:sz w:val="16"/>
                <w:szCs w:val="24"/>
                <w:lang w:eastAsia="en-US"/>
              </w:rPr>
            </w:pPr>
          </w:p>
        </w:tc>
        <w:tc>
          <w:tcPr>
            <w:tcW w:w="1260"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spacing w:before="0"/>
              <w:jc w:val="lef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720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 xml:space="preserve">    Reservas</w:t>
            </w:r>
          </w:p>
        </w:tc>
        <w:tc>
          <w:tcPr>
            <w:tcW w:w="1065"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15.d</w:t>
            </w:r>
          </w:p>
        </w:tc>
        <w:tc>
          <w:tcPr>
            <w:tcW w:w="126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10.503</w:t>
            </w:r>
          </w:p>
        </w:tc>
        <w:tc>
          <w:tcPr>
            <w:tcW w:w="126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(10.503)</w:t>
            </w:r>
          </w:p>
        </w:tc>
        <w:tc>
          <w:tcPr>
            <w:tcW w:w="126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720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 xml:space="preserve">    Dividendos (R$ 304,17 por lote de mil ações)</w:t>
            </w:r>
          </w:p>
        </w:tc>
        <w:tc>
          <w:tcPr>
            <w:tcW w:w="1065"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15.d</w:t>
            </w:r>
          </w:p>
        </w:tc>
        <w:tc>
          <w:tcPr>
            <w:tcW w:w="126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1260" w:type="dxa"/>
            <w:tcBorders>
              <w:top w:val="nil"/>
              <w:left w:val="nil"/>
              <w:bottom w:val="nil"/>
              <w:right w:val="nil"/>
              <w:tl2br w:val="nil"/>
              <w:tr2bl w:val="nil"/>
            </w:tcBorders>
            <w:shd w:val="clear" w:color="FFFFFF" w:fill="FFFFFF"/>
            <w:tcMar>
              <w:left w:w="40" w:type="dxa"/>
              <w:right w:w="4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(199.565)</w:t>
            </w:r>
          </w:p>
        </w:tc>
        <w:tc>
          <w:tcPr>
            <w:tcW w:w="1260"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(199.565)</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7200" w:type="dxa"/>
            <w:tcBorders>
              <w:top w:val="nil"/>
              <w:left w:val="nil"/>
              <w:bottom w:val="single" w:sz="8" w:space="0" w:color="000000"/>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Saldos em 31.12.2019</w:t>
            </w:r>
          </w:p>
        </w:tc>
        <w:tc>
          <w:tcPr>
            <w:tcW w:w="1065" w:type="dxa"/>
            <w:tcBorders>
              <w:top w:val="nil"/>
              <w:left w:val="nil"/>
              <w:bottom w:val="single" w:sz="8" w:space="0" w:color="000000"/>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b/>
                <w:color w:val="000000"/>
                <w:sz w:val="16"/>
                <w:szCs w:val="24"/>
                <w:lang w:eastAsia="en-US"/>
              </w:rPr>
            </w:pPr>
          </w:p>
        </w:tc>
        <w:tc>
          <w:tcPr>
            <w:tcW w:w="1260" w:type="dxa"/>
            <w:tcBorders>
              <w:top w:val="nil"/>
              <w:left w:val="nil"/>
              <w:bottom w:val="single" w:sz="8" w:space="0" w:color="000000"/>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656.103</w:t>
            </w:r>
          </w:p>
        </w:tc>
        <w:tc>
          <w:tcPr>
            <w:tcW w:w="1260" w:type="dxa"/>
            <w:tcBorders>
              <w:top w:val="nil"/>
              <w:left w:val="nil"/>
              <w:bottom w:val="single" w:sz="8" w:space="0" w:color="000000"/>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66.647</w:t>
            </w:r>
          </w:p>
        </w:tc>
        <w:tc>
          <w:tcPr>
            <w:tcW w:w="1260" w:type="dxa"/>
            <w:tcBorders>
              <w:top w:val="nil"/>
              <w:left w:val="nil"/>
              <w:bottom w:val="single" w:sz="8" w:space="0" w:color="000000"/>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189.846</w:t>
            </w:r>
          </w:p>
        </w:tc>
        <w:tc>
          <w:tcPr>
            <w:tcW w:w="1260" w:type="dxa"/>
            <w:tcBorders>
              <w:top w:val="nil"/>
              <w:left w:val="nil"/>
              <w:bottom w:val="single" w:sz="8" w:space="0" w:color="000000"/>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1260" w:type="dxa"/>
            <w:tcBorders>
              <w:top w:val="nil"/>
              <w:left w:val="nil"/>
              <w:bottom w:val="single" w:sz="8" w:space="0" w:color="000000"/>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912.596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7200"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 xml:space="preserve">Mutações do período </w:t>
            </w:r>
          </w:p>
        </w:tc>
        <w:tc>
          <w:tcPr>
            <w:tcW w:w="1065" w:type="dxa"/>
            <w:tcBorders>
              <w:top w:val="single" w:sz="8" w:space="0" w:color="000000"/>
              <w:left w:val="nil"/>
              <w:bottom w:val="single" w:sz="8" w:space="0" w:color="000000"/>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b/>
                <w:color w:val="000000"/>
                <w:sz w:val="16"/>
                <w:szCs w:val="24"/>
                <w:lang w:eastAsia="en-US"/>
              </w:rPr>
            </w:pPr>
          </w:p>
        </w:tc>
        <w:tc>
          <w:tcPr>
            <w:tcW w:w="1260"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1260"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10.503</w:t>
            </w:r>
          </w:p>
        </w:tc>
        <w:tc>
          <w:tcPr>
            <w:tcW w:w="1260"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1260"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w:t>
            </w:r>
          </w:p>
        </w:tc>
        <w:tc>
          <w:tcPr>
            <w:tcW w:w="1260"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10.503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720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As notas explicativas são parte integrante das demonstrações contábeis.</w:t>
            </w:r>
          </w:p>
        </w:tc>
        <w:tc>
          <w:tcPr>
            <w:tcW w:w="1065" w:type="dxa"/>
            <w:tcBorders>
              <w:top w:val="single" w:sz="8" w:space="0" w:color="000000"/>
              <w:left w:val="nil"/>
              <w:bottom w:val="nil"/>
              <w:right w:val="nil"/>
              <w:tl2br w:val="nil"/>
              <w:tr2bl w:val="nil"/>
            </w:tcBorders>
            <w:shd w:val="clear" w:color="auto" w:fill="auto"/>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1260" w:type="dxa"/>
            <w:tcBorders>
              <w:top w:val="single" w:sz="8" w:space="0" w:color="000000"/>
              <w:left w:val="nil"/>
              <w:bottom w:val="nil"/>
              <w:right w:val="nil"/>
              <w:tl2br w:val="nil"/>
              <w:tr2bl w:val="nil"/>
            </w:tcBorders>
            <w:shd w:val="clear" w:color="auto" w:fill="auto"/>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c>
          <w:tcPr>
            <w:tcW w:w="1260" w:type="dxa"/>
            <w:tcBorders>
              <w:top w:val="single" w:sz="8" w:space="0" w:color="000000"/>
              <w:left w:val="nil"/>
              <w:bottom w:val="nil"/>
              <w:right w:val="nil"/>
              <w:tl2br w:val="nil"/>
              <w:tr2bl w:val="nil"/>
            </w:tcBorders>
            <w:shd w:val="clear" w:color="auto" w:fill="auto"/>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1260" w:type="dxa"/>
            <w:tcBorders>
              <w:top w:val="single" w:sz="8" w:space="0" w:color="000000"/>
              <w:left w:val="nil"/>
              <w:bottom w:val="nil"/>
              <w:right w:val="nil"/>
              <w:tl2br w:val="nil"/>
              <w:tr2bl w:val="nil"/>
            </w:tcBorders>
            <w:shd w:val="clear" w:color="auto" w:fill="auto"/>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1260" w:type="dxa"/>
            <w:tcBorders>
              <w:top w:val="single" w:sz="8" w:space="0" w:color="000000"/>
              <w:left w:val="nil"/>
              <w:bottom w:val="nil"/>
              <w:right w:val="nil"/>
              <w:tl2br w:val="nil"/>
              <w:tr2bl w:val="nil"/>
            </w:tcBorders>
            <w:shd w:val="clear" w:color="auto" w:fill="auto"/>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1260" w:type="dxa"/>
            <w:tcBorders>
              <w:top w:val="single" w:sz="8" w:space="0" w:color="000000"/>
              <w:left w:val="nil"/>
              <w:bottom w:val="nil"/>
              <w:right w:val="nil"/>
              <w:tl2br w:val="nil"/>
              <w:tr2bl w:val="nil"/>
            </w:tcBorders>
            <w:shd w:val="clear" w:color="auto" w:fill="auto"/>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r>
    </w:tbl>
    <w:p w:rsidR="00566CE2" w:rsidRDefault="00566CE2">
      <w:pPr>
        <w:sectPr w:rsidR="00566CE2">
          <w:headerReference w:type="even" r:id="rId25"/>
          <w:headerReference w:type="default" r:id="rId26"/>
          <w:footerReference w:type="even" r:id="rId27"/>
          <w:footerReference w:type="default" r:id="rId28"/>
          <w:headerReference w:type="first" r:id="rId29"/>
          <w:footerReference w:type="first" r:id="rId30"/>
          <w:type w:val="continuous"/>
          <w:pgSz w:w="16838" w:h="11906" w:orient="landscape"/>
          <w:pgMar w:top="1134" w:right="1134" w:bottom="1134" w:left="1134" w:header="425" w:footer="425" w:gutter="0"/>
          <w:pgBorders>
            <w:top w:val="nil"/>
            <w:left w:val="nil"/>
            <w:bottom w:val="nil"/>
            <w:right w:val="nil"/>
          </w:pgBorders>
          <w:cols w:space="708"/>
        </w:sectPr>
      </w:pPr>
    </w:p>
    <w:tbl>
      <w:tblPr>
        <w:tblStyle w:val="CDMRange10"/>
        <w:tblW w:w="9705" w:type="dxa"/>
        <w:tblLayout w:type="fixed"/>
        <w:tblLook w:val="0600" w:firstRow="0" w:lastRow="0" w:firstColumn="0" w:lastColumn="0" w:noHBand="1" w:noVBand="1"/>
      </w:tblPr>
      <w:tblGrid>
        <w:gridCol w:w="5850"/>
        <w:gridCol w:w="555"/>
        <w:gridCol w:w="1650"/>
        <w:gridCol w:w="1650"/>
      </w:tblGrid>
      <w:tr w:rsidR="00566CE2">
        <w:trPr>
          <w:trHeight w:hRule="exact" w:val="270"/>
        </w:trPr>
        <w:tc>
          <w:tcPr>
            <w:tcW w:w="6405" w:type="dxa"/>
            <w:gridSpan w:val="2"/>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pageBreakBefore/>
              <w:spacing w:before="0"/>
              <w:jc w:val="left"/>
              <w:rPr>
                <w:rFonts w:ascii="Arial (W1)" w:eastAsia="Arial (W1)" w:hAnsi="Arial (W1)" w:cs="Arial (W1)"/>
                <w:b/>
                <w:color w:val="000000"/>
                <w:szCs w:val="24"/>
                <w:lang w:eastAsia="en-US"/>
              </w:rPr>
            </w:pPr>
            <w:r>
              <w:rPr>
                <w:rFonts w:ascii="Arial (W1)" w:eastAsia="Arial (W1)" w:hAnsi="Arial (W1)" w:cs="Arial (W1)"/>
                <w:b/>
                <w:color w:val="000000"/>
                <w:szCs w:val="24"/>
                <w:lang w:eastAsia="en-US"/>
              </w:rPr>
              <w:lastRenderedPageBreak/>
              <w:t>DEMONSTRAÇÃO DOS FLUXOS DE CAIXA - MÉTODO INDIRETO</w:t>
            </w: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spacing w:before="0"/>
              <w:jc w:val="right"/>
              <w:rPr>
                <w:rFonts w:eastAsia="Arial" w:cs="Arial"/>
                <w:color w:val="000000"/>
                <w:sz w:val="16"/>
                <w:szCs w:val="24"/>
                <w:u w:val="single"/>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9705" w:type="dxa"/>
            <w:gridSpan w:val="4"/>
            <w:tcBorders>
              <w:top w:val="nil"/>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60"/>
        </w:trPr>
        <w:tc>
          <w:tcPr>
            <w:tcW w:w="585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b/>
                <w:color w:val="000000"/>
                <w:sz w:val="16"/>
                <w:szCs w:val="24"/>
                <w:lang w:eastAsia="en-US"/>
              </w:rPr>
            </w:pPr>
          </w:p>
        </w:tc>
        <w:tc>
          <w:tcPr>
            <w:tcW w:w="5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66CE2" w:rsidRDefault="00A82039">
            <w:pPr>
              <w:spacing w:before="0"/>
              <w:jc w:val="center"/>
              <w:rPr>
                <w:rFonts w:eastAsia="Arial" w:cs="Arial"/>
                <w:b/>
                <w:color w:val="000000"/>
                <w:sz w:val="16"/>
                <w:szCs w:val="24"/>
                <w:lang w:eastAsia="en-US"/>
              </w:rPr>
            </w:pPr>
            <w:r>
              <w:rPr>
                <w:rFonts w:eastAsia="Arial" w:cs="Arial"/>
                <w:b/>
                <w:color w:val="000000"/>
                <w:sz w:val="16"/>
                <w:szCs w:val="24"/>
                <w:lang w:eastAsia="en-US"/>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Exercício/2019</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Exercício/2018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FLUXOS DE CAIXA PROVENIENTES DAS OPERAÇÕES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Lucro antes dos Tributos e Participações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318.403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202.712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Ajuste ao Lucro antes dos Tributos e Participações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214.635</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193.932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Despesas de depreciação e amortização</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882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633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Reforço (Reversão) de provisão para passivos contingentes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6.250</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(1.888)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Reversão de provisões operacionais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(79)</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Resultado de participação em coligadas e controladas</w:t>
            </w:r>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8</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(4.015)</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(3.710)</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Perdas na baixa de créditos adquiridos</w:t>
            </w:r>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5.e</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211.597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198.897</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Lucro Ajustado antes do Imposto de Renda e Contribuição Social</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533.038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396.644</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8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Variações Patrimoniais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(319.438)</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(354.396)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Aumento em créditos adquiridos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(242.266)</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(292.625)</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(Aumento) Redução em outros créditos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(692)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879</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(Aumento) Redução em outros valores e bens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1.177</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(164)</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Aumento em outras obrigações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6.447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410</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Imposto de renda e contribuição social pagos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(84.104)</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(62.896)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8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CAIXA GERADO PELAS OPERAÇÕES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213.600</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42.248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8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FLUXOS DE CAIXA PROVENIENTES DAS ATIVIDADES DE INVESTIMENTO</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(Aumento) Redução em aplicações financeiras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(92.578)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197.299</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 xml:space="preserve">Aumento de imobilizado e intangível </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(645)</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(1.423)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Dividendos recebidos de coligadas e controladas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3.800</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3.099</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8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CAIXA GERADO (UTILIZADO) PELAS ATIVIDADES DE INVESTIMENTO</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(89.423)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198.975</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8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5850" w:type="dxa"/>
            <w:tcBorders>
              <w:top w:val="nil"/>
              <w:left w:val="nil"/>
              <w:bottom w:val="nil"/>
              <w:right w:val="nil"/>
              <w:tl2br w:val="nil"/>
              <w:tr2bl w:val="nil"/>
            </w:tcBorders>
            <w:shd w:val="clear" w:color="FFFFFF" w:fill="FFFFFF"/>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FLUXOS DE CAIXA PROVENIENTES DAS ATIVIDADES DE FINANCIAMENTO</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Dividendos pagos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(129.500)</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(233.182)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8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CAIXA UTILIZADO PELAS ATIVIDADES DE FINANCIAMENTO</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(129.500)</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(233.182)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8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Variação Líquida de Caixa e Equivalentes de Caixa</w:t>
            </w:r>
          </w:p>
        </w:tc>
        <w:tc>
          <w:tcPr>
            <w:tcW w:w="5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b/>
                <w:color w:val="000000"/>
                <w:sz w:val="16"/>
                <w:szCs w:val="24"/>
                <w:lang w:eastAsia="en-US"/>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(5.323)</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8.041</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Início do período</w:t>
            </w: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15.748</w:t>
            </w: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7.707</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Fim do período</w:t>
            </w: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10.425</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15.748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Aumento (Redução) de Caixa e Equivalentes de Caixa</w:t>
            </w:r>
          </w:p>
        </w:tc>
        <w:tc>
          <w:tcPr>
            <w:tcW w:w="5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b/>
                <w:color w:val="000000"/>
                <w:sz w:val="16"/>
                <w:szCs w:val="24"/>
                <w:lang w:eastAsia="en-US"/>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(5.323)</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8.041</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5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As notas explicativas são parte integrante das demonstrações contábeis.</w:t>
            </w: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r>
    </w:tbl>
    <w:tbl>
      <w:tblPr>
        <w:tblStyle w:val="CDMRange20"/>
        <w:tblW w:w="9705" w:type="dxa"/>
        <w:tblLayout w:type="fixed"/>
        <w:tblLook w:val="0600" w:firstRow="0" w:lastRow="0" w:firstColumn="0" w:lastColumn="0" w:noHBand="1" w:noVBand="1"/>
      </w:tblPr>
      <w:tblGrid>
        <w:gridCol w:w="4650"/>
        <w:gridCol w:w="555"/>
        <w:gridCol w:w="1515"/>
        <w:gridCol w:w="735"/>
        <w:gridCol w:w="1515"/>
        <w:gridCol w:w="735"/>
      </w:tblGrid>
      <w:tr w:rsidR="00566CE2">
        <w:trPr>
          <w:trHeight w:hRule="exact" w:val="270"/>
        </w:trPr>
        <w:tc>
          <w:tcPr>
            <w:tcW w:w="4650" w:type="dxa"/>
            <w:tcBorders>
              <w:top w:val="nil"/>
              <w:left w:val="nil"/>
              <w:bottom w:val="nil"/>
              <w:right w:val="nil"/>
              <w:tl2br w:val="nil"/>
              <w:tr2bl w:val="nil"/>
            </w:tcBorders>
            <w:shd w:val="clear" w:color="auto" w:fill="auto"/>
            <w:noWrap/>
            <w:tcMar>
              <w:left w:w="40" w:type="dxa"/>
              <w:right w:w="40" w:type="dxa"/>
            </w:tcMar>
            <w:vAlign w:val="bottom"/>
          </w:tcPr>
          <w:p w:rsidR="00566CE2" w:rsidRDefault="00A82039">
            <w:pPr>
              <w:pageBreakBefore/>
              <w:spacing w:before="0"/>
              <w:jc w:val="left"/>
              <w:rPr>
                <w:rFonts w:ascii="Arial (W1)" w:eastAsia="Arial (W1)" w:hAnsi="Arial (W1)" w:cs="Arial (W1)"/>
                <w:b/>
                <w:color w:val="000000"/>
                <w:szCs w:val="24"/>
                <w:lang w:eastAsia="en-US"/>
              </w:rPr>
            </w:pPr>
            <w:r>
              <w:rPr>
                <w:rFonts w:ascii="Arial (W1)" w:eastAsia="Arial (W1)" w:hAnsi="Arial (W1)" w:cs="Arial (W1)"/>
                <w:b/>
                <w:color w:val="000000"/>
                <w:szCs w:val="24"/>
                <w:lang w:eastAsia="en-US"/>
              </w:rPr>
              <w:lastRenderedPageBreak/>
              <w:t>DEMONSTRAÇÃO DO VALOR ADICIONADO</w:t>
            </w:r>
          </w:p>
        </w:tc>
        <w:tc>
          <w:tcPr>
            <w:tcW w:w="555" w:type="dxa"/>
            <w:tcBorders>
              <w:top w:val="nil"/>
              <w:left w:val="nil"/>
              <w:bottom w:val="nil"/>
              <w:right w:val="nil"/>
              <w:tl2br w:val="nil"/>
              <w:tr2bl w:val="nil"/>
            </w:tcBorders>
            <w:shd w:val="clear" w:color="auto" w:fill="auto"/>
            <w:noWrap/>
            <w:tcMar>
              <w:left w:w="0" w:type="dxa"/>
              <w:right w:w="0" w:type="dxa"/>
            </w:tcMar>
            <w:vAlign w:val="bottom"/>
          </w:tcPr>
          <w:p w:rsidR="00566CE2" w:rsidRDefault="00566CE2">
            <w:pPr>
              <w:spacing w:before="0"/>
              <w:jc w:val="center"/>
              <w:rPr>
                <w:rFonts w:ascii="Arial (W1)" w:eastAsia="Arial (W1)" w:hAnsi="Arial (W1)" w:cs="Arial (W1)"/>
                <w:b/>
                <w:color w:val="000000"/>
                <w:szCs w:val="24"/>
                <w:lang w:eastAsia="en-US"/>
              </w:rPr>
            </w:pPr>
          </w:p>
        </w:tc>
        <w:tc>
          <w:tcPr>
            <w:tcW w:w="1515" w:type="dxa"/>
            <w:tcBorders>
              <w:top w:val="nil"/>
              <w:left w:val="nil"/>
              <w:bottom w:val="nil"/>
              <w:right w:val="nil"/>
              <w:tl2br w:val="nil"/>
              <w:tr2bl w:val="nil"/>
            </w:tcBorders>
            <w:shd w:val="clear" w:color="auto" w:fill="auto"/>
            <w:noWrap/>
            <w:tcMar>
              <w:left w:w="0" w:type="dxa"/>
              <w:right w:w="0" w:type="dxa"/>
            </w:tcMar>
            <w:vAlign w:val="bottom"/>
          </w:tcPr>
          <w:p w:rsidR="00566CE2" w:rsidRDefault="00566CE2">
            <w:pPr>
              <w:spacing w:before="0"/>
              <w:jc w:val="center"/>
              <w:rPr>
                <w:rFonts w:eastAsia="Arial" w:cs="Arial"/>
                <w:color w:val="000000"/>
                <w:sz w:val="16"/>
                <w:szCs w:val="24"/>
                <w:u w:val="single"/>
                <w:lang w:eastAsia="en-US"/>
              </w:rPr>
            </w:pPr>
          </w:p>
        </w:tc>
        <w:tc>
          <w:tcPr>
            <w:tcW w:w="735" w:type="dxa"/>
            <w:tcBorders>
              <w:top w:val="nil"/>
              <w:left w:val="nil"/>
              <w:bottom w:val="nil"/>
              <w:right w:val="nil"/>
              <w:tl2br w:val="nil"/>
              <w:tr2bl w:val="nil"/>
            </w:tcBorders>
            <w:shd w:val="clear" w:color="auto" w:fill="auto"/>
            <w:noWrap/>
            <w:tcMar>
              <w:left w:w="0" w:type="dxa"/>
              <w:right w:w="0" w:type="dxa"/>
            </w:tcMar>
            <w:vAlign w:val="bottom"/>
          </w:tcPr>
          <w:p w:rsidR="00566CE2" w:rsidRDefault="00566CE2">
            <w:pPr>
              <w:spacing w:before="0"/>
              <w:jc w:val="center"/>
              <w:rPr>
                <w:rFonts w:eastAsia="Arial" w:cs="Arial"/>
                <w:color w:val="000000"/>
                <w:sz w:val="16"/>
                <w:szCs w:val="24"/>
                <w:u w:val="single"/>
                <w:lang w:eastAsia="en-US"/>
              </w:rPr>
            </w:pPr>
          </w:p>
        </w:tc>
        <w:tc>
          <w:tcPr>
            <w:tcW w:w="1515" w:type="dxa"/>
            <w:tcBorders>
              <w:top w:val="nil"/>
              <w:left w:val="nil"/>
              <w:bottom w:val="nil"/>
              <w:right w:val="nil"/>
              <w:tl2br w:val="nil"/>
              <w:tr2bl w:val="nil"/>
            </w:tcBorders>
            <w:shd w:val="clear" w:color="auto" w:fill="auto"/>
            <w:noWrap/>
            <w:tcMar>
              <w:left w:w="0" w:type="dxa"/>
              <w:right w:w="0" w:type="dxa"/>
            </w:tcMar>
            <w:vAlign w:val="bottom"/>
          </w:tcPr>
          <w:p w:rsidR="00566CE2" w:rsidRDefault="00566CE2">
            <w:pPr>
              <w:spacing w:before="0"/>
              <w:jc w:val="right"/>
              <w:rPr>
                <w:rFonts w:eastAsia="Arial" w:cs="Arial"/>
                <w:b/>
                <w:color w:val="000000"/>
                <w:sz w:val="16"/>
                <w:szCs w:val="24"/>
                <w:lang w:eastAsia="en-US"/>
              </w:rPr>
            </w:pPr>
          </w:p>
        </w:tc>
        <w:tc>
          <w:tcPr>
            <w:tcW w:w="735" w:type="dxa"/>
            <w:tcBorders>
              <w:top w:val="nil"/>
              <w:left w:val="nil"/>
              <w:bottom w:val="nil"/>
              <w:right w:val="nil"/>
              <w:tl2br w:val="nil"/>
              <w:tr2bl w:val="nil"/>
            </w:tcBorders>
            <w:shd w:val="clear" w:color="auto" w:fill="auto"/>
            <w:noWrap/>
            <w:tcMar>
              <w:left w:w="0" w:type="dxa"/>
              <w:right w:w="0" w:type="dxa"/>
            </w:tcMar>
            <w:vAlign w:val="bottom"/>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8970" w:type="dxa"/>
            <w:gridSpan w:val="5"/>
            <w:tcBorders>
              <w:top w:val="nil"/>
              <w:left w:val="nil"/>
              <w:bottom w:val="single" w:sz="4" w:space="0" w:color="000000"/>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b/>
                <w:color w:val="000000"/>
                <w:sz w:val="16"/>
                <w:szCs w:val="24"/>
                <w:lang w:eastAsia="en-US"/>
              </w:rPr>
            </w:pPr>
          </w:p>
        </w:tc>
        <w:tc>
          <w:tcPr>
            <w:tcW w:w="73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65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rsidR="00566CE2" w:rsidRDefault="00566CE2">
            <w:pPr>
              <w:spacing w:before="0"/>
              <w:jc w:val="left"/>
              <w:rPr>
                <w:rFonts w:eastAsia="Arial" w:cs="Arial"/>
                <w:b/>
                <w:color w:val="000000"/>
                <w:sz w:val="16"/>
                <w:szCs w:val="24"/>
                <w:lang w:eastAsia="en-US"/>
              </w:rPr>
            </w:pPr>
          </w:p>
        </w:tc>
        <w:tc>
          <w:tcPr>
            <w:tcW w:w="5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66CE2" w:rsidRDefault="00A82039">
            <w:pPr>
              <w:spacing w:before="0"/>
              <w:jc w:val="center"/>
              <w:rPr>
                <w:rFonts w:eastAsia="Arial" w:cs="Arial"/>
                <w:b/>
                <w:color w:val="000000"/>
                <w:sz w:val="16"/>
                <w:szCs w:val="24"/>
                <w:lang w:eastAsia="en-US"/>
              </w:rPr>
            </w:pPr>
            <w:r>
              <w:rPr>
                <w:rFonts w:eastAsia="Arial" w:cs="Arial"/>
                <w:b/>
                <w:color w:val="000000"/>
                <w:sz w:val="16"/>
                <w:szCs w:val="24"/>
                <w:lang w:eastAsia="en-US"/>
              </w:rPr>
              <w:t>Nota</w:t>
            </w:r>
          </w:p>
        </w:tc>
        <w:tc>
          <w:tcPr>
            <w:tcW w:w="225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66CE2" w:rsidRDefault="00A82039">
            <w:pPr>
              <w:spacing w:before="0"/>
              <w:jc w:val="center"/>
              <w:rPr>
                <w:rFonts w:eastAsia="Arial" w:cs="Arial"/>
                <w:b/>
                <w:color w:val="000000"/>
                <w:sz w:val="16"/>
                <w:szCs w:val="24"/>
                <w:lang w:eastAsia="en-US"/>
              </w:rPr>
            </w:pPr>
            <w:r>
              <w:rPr>
                <w:rFonts w:eastAsia="Arial" w:cs="Arial"/>
                <w:b/>
                <w:color w:val="000000"/>
                <w:sz w:val="16"/>
                <w:szCs w:val="24"/>
                <w:lang w:eastAsia="en-US"/>
              </w:rPr>
              <w:t>Exercício/2019</w:t>
            </w:r>
          </w:p>
        </w:tc>
        <w:tc>
          <w:tcPr>
            <w:tcW w:w="225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rsidR="00566CE2" w:rsidRDefault="00A82039">
            <w:pPr>
              <w:spacing w:before="0"/>
              <w:jc w:val="center"/>
              <w:rPr>
                <w:rFonts w:eastAsia="Arial" w:cs="Arial"/>
                <w:b/>
                <w:color w:val="000000"/>
                <w:sz w:val="16"/>
                <w:szCs w:val="24"/>
                <w:lang w:eastAsia="en-US"/>
              </w:rPr>
            </w:pPr>
            <w:r>
              <w:rPr>
                <w:rFonts w:eastAsia="Arial" w:cs="Arial"/>
                <w:b/>
                <w:color w:val="000000"/>
                <w:sz w:val="16"/>
                <w:szCs w:val="24"/>
                <w:lang w:eastAsia="en-US"/>
              </w:rPr>
              <w:t>Exercício/2018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Receitas</w:t>
            </w: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center"/>
              <w:rPr>
                <w:rFonts w:eastAsia="Arial" w:cs="Arial"/>
                <w:b/>
                <w:color w:val="000000"/>
                <w:sz w:val="16"/>
                <w:szCs w:val="24"/>
                <w:lang w:eastAsia="en-US"/>
              </w:rPr>
            </w:pPr>
          </w:p>
        </w:tc>
        <w:tc>
          <w:tcPr>
            <w:tcW w:w="1515" w:type="dxa"/>
            <w:tcBorders>
              <w:top w:val="single" w:sz="4" w:space="0" w:color="000000"/>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741.657</w:t>
            </w:r>
          </w:p>
        </w:tc>
        <w:tc>
          <w:tcPr>
            <w:tcW w:w="73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b/>
                <w:color w:val="000000"/>
                <w:sz w:val="16"/>
                <w:szCs w:val="24"/>
                <w:lang w:eastAsia="en-US"/>
              </w:rPr>
            </w:pPr>
          </w:p>
        </w:tc>
        <w:tc>
          <w:tcPr>
            <w:tcW w:w="1515" w:type="dxa"/>
            <w:tcBorders>
              <w:top w:val="single" w:sz="4" w:space="0" w:color="000000"/>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555.305</w:t>
            </w:r>
          </w:p>
        </w:tc>
        <w:tc>
          <w:tcPr>
            <w:tcW w:w="73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Receita de recebimento de créditos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12</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785.555</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592.608</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Outras receitas/(despesas)</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center"/>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(43.898)</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(37.303)</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Insumos Adquiridos de Terceiros</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center"/>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(371.967)</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(315.924)</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Perdas na baixa de créditos adquiridos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5.e</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(211.597)</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(198.897)</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Despesas com serviços de cobrança</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13.a</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(148.695)</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(105.914)</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Processamento de dados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13.b</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(6.205)</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(4.345)</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Comunicação</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13.b</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(1.387)</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(1.910)</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Serviços técnicos especializados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13.b</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(1.461)</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(2.518)</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Custos indiretos contadoria BB</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13.b</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(332)</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(318)</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Serviços de terceiros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13.b</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(392)</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(343)</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Custos de suporte direção geral BB</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13.b</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(242)</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(216)</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Promoções e relações públicas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13.b</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(382)</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(518)</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Legais e judiciais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13.b</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(314)</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(103)</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Outras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13.b</w:t>
            </w: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(960)</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(842)</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Valor Adicionado Bruto</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center"/>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369.690</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239.381</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Depreciação e Amortização</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center"/>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(882)</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(633)</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Valor Adicionado Líquido Produzido pela Entidade</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center"/>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368.808</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238.748</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Valor Adicionado Recebido em Transferência</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center"/>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13.051</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19.459</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Resultado de participações em coligadas e controladas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8</w:t>
            </w:r>
          </w:p>
        </w:tc>
        <w:tc>
          <w:tcPr>
            <w:tcW w:w="1515" w:type="dxa"/>
            <w:tcBorders>
              <w:top w:val="nil"/>
              <w:left w:val="nil"/>
              <w:bottom w:val="nil"/>
              <w:right w:val="nil"/>
              <w:tl2br w:val="nil"/>
              <w:tr2bl w:val="nil"/>
            </w:tcBorders>
            <w:shd w:val="clear" w:color="auto" w:fill="auto"/>
            <w:noWrap/>
            <w:tcMar>
              <w:left w:w="40" w:type="dxa"/>
              <w:right w:w="10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4.015</w:t>
            </w:r>
          </w:p>
        </w:tc>
        <w:tc>
          <w:tcPr>
            <w:tcW w:w="735" w:type="dxa"/>
            <w:tcBorders>
              <w:top w:val="nil"/>
              <w:left w:val="nil"/>
              <w:bottom w:val="nil"/>
              <w:right w:val="nil"/>
              <w:tl2br w:val="nil"/>
              <w:tr2bl w:val="nil"/>
            </w:tcBorders>
            <w:shd w:val="clear" w:color="auto" w:fill="auto"/>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auto" w:fill="auto"/>
            <w:noWrap/>
            <w:tcMar>
              <w:left w:w="40" w:type="dxa"/>
              <w:right w:w="10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3.710</w:t>
            </w:r>
          </w:p>
        </w:tc>
        <w:tc>
          <w:tcPr>
            <w:tcW w:w="735" w:type="dxa"/>
            <w:tcBorders>
              <w:top w:val="nil"/>
              <w:left w:val="nil"/>
              <w:bottom w:val="nil"/>
              <w:right w:val="nil"/>
              <w:tl2br w:val="nil"/>
              <w:tr2bl w:val="nil"/>
            </w:tcBorders>
            <w:shd w:val="clear" w:color="auto" w:fill="auto"/>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Receitas financeiras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14.a</w:t>
            </w:r>
          </w:p>
        </w:tc>
        <w:tc>
          <w:tcPr>
            <w:tcW w:w="1515" w:type="dxa"/>
            <w:tcBorders>
              <w:top w:val="nil"/>
              <w:left w:val="nil"/>
              <w:bottom w:val="nil"/>
              <w:right w:val="nil"/>
              <w:tl2br w:val="nil"/>
              <w:tr2bl w:val="nil"/>
            </w:tcBorders>
            <w:shd w:val="clear" w:color="auto" w:fill="auto"/>
            <w:noWrap/>
            <w:tcMar>
              <w:left w:w="40" w:type="dxa"/>
              <w:right w:w="10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9.036</w:t>
            </w:r>
          </w:p>
        </w:tc>
        <w:tc>
          <w:tcPr>
            <w:tcW w:w="735" w:type="dxa"/>
            <w:tcBorders>
              <w:top w:val="nil"/>
              <w:left w:val="nil"/>
              <w:bottom w:val="nil"/>
              <w:right w:val="nil"/>
              <w:tl2br w:val="nil"/>
              <w:tr2bl w:val="nil"/>
            </w:tcBorders>
            <w:shd w:val="clear" w:color="auto" w:fill="auto"/>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auto" w:fill="auto"/>
            <w:noWrap/>
            <w:tcMar>
              <w:left w:w="40" w:type="dxa"/>
              <w:right w:w="10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15.749</w:t>
            </w:r>
          </w:p>
        </w:tc>
        <w:tc>
          <w:tcPr>
            <w:tcW w:w="735" w:type="dxa"/>
            <w:tcBorders>
              <w:top w:val="nil"/>
              <w:left w:val="nil"/>
              <w:bottom w:val="nil"/>
              <w:right w:val="nil"/>
              <w:tl2br w:val="nil"/>
              <w:tr2bl w:val="nil"/>
            </w:tcBorders>
            <w:shd w:val="clear" w:color="auto" w:fill="auto"/>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VALOR ADICIONADO TOTAL A DISTRIBUIR</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center"/>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381.859</w:t>
            </w:r>
          </w:p>
        </w:tc>
        <w:tc>
          <w:tcPr>
            <w:tcW w:w="735" w:type="dxa"/>
            <w:tcBorders>
              <w:top w:val="nil"/>
              <w:left w:val="nil"/>
              <w:bottom w:val="nil"/>
              <w:right w:val="nil"/>
              <w:tl2br w:val="nil"/>
              <w:tr2bl w:val="nil"/>
            </w:tcBorders>
            <w:shd w:val="clear" w:color="auto" w:fill="auto"/>
            <w:noWrap/>
            <w:tcMar>
              <w:left w:w="40" w:type="dxa"/>
              <w:right w:w="4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100,00%</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258.207</w:t>
            </w:r>
          </w:p>
        </w:tc>
        <w:tc>
          <w:tcPr>
            <w:tcW w:w="735" w:type="dxa"/>
            <w:tcBorders>
              <w:top w:val="nil"/>
              <w:left w:val="nil"/>
              <w:bottom w:val="nil"/>
              <w:right w:val="nil"/>
              <w:tl2br w:val="nil"/>
              <w:tr2bl w:val="nil"/>
            </w:tcBorders>
            <w:shd w:val="clear" w:color="auto" w:fill="auto"/>
            <w:noWrap/>
            <w:tcMar>
              <w:left w:w="40" w:type="dxa"/>
              <w:right w:w="4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100,00%</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VALOR ADICIONADO DISTRIBUIDO</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center"/>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auto" w:fill="auto"/>
            <w:noWrap/>
            <w:tcMar>
              <w:left w:w="40" w:type="dxa"/>
              <w:right w:w="10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381.859</w:t>
            </w:r>
          </w:p>
        </w:tc>
        <w:tc>
          <w:tcPr>
            <w:tcW w:w="735" w:type="dxa"/>
            <w:tcBorders>
              <w:top w:val="nil"/>
              <w:left w:val="nil"/>
              <w:bottom w:val="nil"/>
              <w:right w:val="nil"/>
              <w:tl2br w:val="nil"/>
              <w:tr2bl w:val="nil"/>
            </w:tcBorders>
            <w:shd w:val="clear" w:color="auto" w:fill="auto"/>
            <w:noWrap/>
            <w:tcMar>
              <w:left w:w="40" w:type="dxa"/>
              <w:right w:w="4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100,00%</w:t>
            </w:r>
          </w:p>
        </w:tc>
        <w:tc>
          <w:tcPr>
            <w:tcW w:w="1515" w:type="dxa"/>
            <w:tcBorders>
              <w:top w:val="nil"/>
              <w:left w:val="nil"/>
              <w:bottom w:val="nil"/>
              <w:right w:val="nil"/>
              <w:tl2br w:val="nil"/>
              <w:tr2bl w:val="nil"/>
            </w:tcBorders>
            <w:shd w:val="clear" w:color="auto" w:fill="auto"/>
            <w:noWrap/>
            <w:tcMar>
              <w:left w:w="40" w:type="dxa"/>
              <w:right w:w="10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258.207</w:t>
            </w:r>
          </w:p>
        </w:tc>
        <w:tc>
          <w:tcPr>
            <w:tcW w:w="735" w:type="dxa"/>
            <w:tcBorders>
              <w:top w:val="nil"/>
              <w:left w:val="nil"/>
              <w:bottom w:val="nil"/>
              <w:right w:val="nil"/>
              <w:tl2br w:val="nil"/>
              <w:tr2bl w:val="nil"/>
            </w:tcBorders>
            <w:shd w:val="clear" w:color="auto" w:fill="auto"/>
            <w:noWrap/>
            <w:tcMar>
              <w:left w:w="40" w:type="dxa"/>
              <w:right w:w="4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100,00%</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Pessoal</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center"/>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auto" w:fill="auto"/>
            <w:noWrap/>
            <w:tcMar>
              <w:left w:w="40" w:type="dxa"/>
              <w:right w:w="10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18.984</w:t>
            </w:r>
          </w:p>
        </w:tc>
        <w:tc>
          <w:tcPr>
            <w:tcW w:w="735" w:type="dxa"/>
            <w:tcBorders>
              <w:top w:val="nil"/>
              <w:left w:val="nil"/>
              <w:bottom w:val="nil"/>
              <w:right w:val="nil"/>
              <w:tl2br w:val="nil"/>
              <w:tr2bl w:val="nil"/>
            </w:tcBorders>
            <w:shd w:val="clear" w:color="auto" w:fill="auto"/>
            <w:noWrap/>
            <w:tcMar>
              <w:left w:w="40" w:type="dxa"/>
              <w:right w:w="4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4,97%</w:t>
            </w:r>
          </w:p>
        </w:tc>
        <w:tc>
          <w:tcPr>
            <w:tcW w:w="1515" w:type="dxa"/>
            <w:tcBorders>
              <w:top w:val="nil"/>
              <w:left w:val="nil"/>
              <w:bottom w:val="nil"/>
              <w:right w:val="nil"/>
              <w:tl2br w:val="nil"/>
              <w:tr2bl w:val="nil"/>
            </w:tcBorders>
            <w:shd w:val="clear" w:color="auto" w:fill="auto"/>
            <w:noWrap/>
            <w:tcMar>
              <w:left w:w="40" w:type="dxa"/>
              <w:right w:w="10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19.043</w:t>
            </w:r>
          </w:p>
        </w:tc>
        <w:tc>
          <w:tcPr>
            <w:tcW w:w="735" w:type="dxa"/>
            <w:tcBorders>
              <w:top w:val="nil"/>
              <w:left w:val="nil"/>
              <w:bottom w:val="nil"/>
              <w:right w:val="nil"/>
              <w:tl2br w:val="nil"/>
              <w:tr2bl w:val="nil"/>
            </w:tcBorders>
            <w:shd w:val="clear" w:color="auto" w:fill="auto"/>
            <w:noWrap/>
            <w:tcMar>
              <w:left w:w="40" w:type="dxa"/>
              <w:right w:w="4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7,38%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31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Salários e honorários</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center"/>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8.730</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8.224</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31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Benefícios e treinamentos</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center"/>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2.826</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2.755</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31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Encargos Sociais</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center"/>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4.948</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6.057</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31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Participações de empregados e administradores no lucro</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center"/>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2.480</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2.007</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Impostos, Taxas e Contribuições</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center"/>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141.203</w:t>
            </w:r>
          </w:p>
        </w:tc>
        <w:tc>
          <w:tcPr>
            <w:tcW w:w="735" w:type="dxa"/>
            <w:tcBorders>
              <w:top w:val="nil"/>
              <w:left w:val="nil"/>
              <w:bottom w:val="nil"/>
              <w:right w:val="nil"/>
              <w:tl2br w:val="nil"/>
              <w:tr2bl w:val="nil"/>
            </w:tcBorders>
            <w:shd w:val="clear" w:color="auto" w:fill="auto"/>
            <w:noWrap/>
            <w:tcMar>
              <w:left w:w="40" w:type="dxa"/>
              <w:right w:w="4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36,98%</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94.194</w:t>
            </w:r>
          </w:p>
        </w:tc>
        <w:tc>
          <w:tcPr>
            <w:tcW w:w="735" w:type="dxa"/>
            <w:tcBorders>
              <w:top w:val="nil"/>
              <w:left w:val="nil"/>
              <w:bottom w:val="nil"/>
              <w:right w:val="nil"/>
              <w:tl2br w:val="nil"/>
              <w:tr2bl w:val="nil"/>
            </w:tcBorders>
            <w:shd w:val="clear" w:color="auto" w:fill="auto"/>
            <w:noWrap/>
            <w:tcMar>
              <w:left w:w="40" w:type="dxa"/>
              <w:right w:w="4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36,48%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31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Federais</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center"/>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141.203</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94.193</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31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Municipais</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center"/>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Remuneração de Capital de Terceiros</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center"/>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11.604</w:t>
            </w:r>
          </w:p>
        </w:tc>
        <w:tc>
          <w:tcPr>
            <w:tcW w:w="735" w:type="dxa"/>
            <w:tcBorders>
              <w:top w:val="nil"/>
              <w:left w:val="nil"/>
              <w:bottom w:val="nil"/>
              <w:right w:val="nil"/>
              <w:tl2br w:val="nil"/>
              <w:tr2bl w:val="nil"/>
            </w:tcBorders>
            <w:shd w:val="clear" w:color="auto" w:fill="auto"/>
            <w:noWrap/>
            <w:tcMar>
              <w:left w:w="40" w:type="dxa"/>
              <w:right w:w="4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3,04%</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11.312</w:t>
            </w:r>
          </w:p>
        </w:tc>
        <w:tc>
          <w:tcPr>
            <w:tcW w:w="735" w:type="dxa"/>
            <w:tcBorders>
              <w:top w:val="nil"/>
              <w:left w:val="nil"/>
              <w:bottom w:val="nil"/>
              <w:right w:val="nil"/>
              <w:tl2br w:val="nil"/>
              <w:tr2bl w:val="nil"/>
            </w:tcBorders>
            <w:shd w:val="clear" w:color="auto" w:fill="auto"/>
            <w:noWrap/>
            <w:tcMar>
              <w:left w:w="40" w:type="dxa"/>
              <w:right w:w="4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4,38%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31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Despesas financeiras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14.b</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9.792</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9.500</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31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Aluguéis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13.b</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1.812</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1.812</w:t>
            </w:r>
          </w:p>
        </w:tc>
        <w:tc>
          <w:tcPr>
            <w:tcW w:w="73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right"/>
              <w:rPr>
                <w:rFonts w:eastAsia="Arial" w:cs="Arial"/>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175" w:type="dxa"/>
              <w:right w:w="40" w:type="dxa"/>
            </w:tcMar>
            <w:vAlign w:val="center"/>
          </w:tcPr>
          <w:p w:rsidR="00566CE2" w:rsidRDefault="00A82039">
            <w:pPr>
              <w:spacing w:before="0"/>
              <w:jc w:val="left"/>
              <w:rPr>
                <w:rFonts w:eastAsia="Arial" w:cs="Arial"/>
                <w:b/>
                <w:color w:val="000000"/>
                <w:sz w:val="16"/>
                <w:szCs w:val="24"/>
                <w:lang w:eastAsia="en-US"/>
              </w:rPr>
            </w:pPr>
            <w:r>
              <w:rPr>
                <w:rFonts w:eastAsia="Arial" w:cs="Arial"/>
                <w:b/>
                <w:color w:val="000000"/>
                <w:sz w:val="16"/>
                <w:szCs w:val="24"/>
                <w:lang w:eastAsia="en-US"/>
              </w:rPr>
              <w:t>Remuneração de Capital Próprio</w:t>
            </w:r>
          </w:p>
        </w:tc>
        <w:tc>
          <w:tcPr>
            <w:tcW w:w="555" w:type="dxa"/>
            <w:tcBorders>
              <w:top w:val="nil"/>
              <w:left w:val="nil"/>
              <w:bottom w:val="nil"/>
              <w:right w:val="nil"/>
              <w:tl2br w:val="nil"/>
              <w:tr2bl w:val="nil"/>
            </w:tcBorders>
            <w:shd w:val="clear" w:color="FFFFFF" w:fill="FFFFFF"/>
            <w:noWrap/>
            <w:tcMar>
              <w:left w:w="0" w:type="dxa"/>
              <w:right w:w="0" w:type="dxa"/>
            </w:tcMar>
            <w:vAlign w:val="bottom"/>
          </w:tcPr>
          <w:p w:rsidR="00566CE2" w:rsidRDefault="00566CE2">
            <w:pPr>
              <w:spacing w:before="0"/>
              <w:jc w:val="center"/>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210.068</w:t>
            </w:r>
          </w:p>
        </w:tc>
        <w:tc>
          <w:tcPr>
            <w:tcW w:w="735" w:type="dxa"/>
            <w:tcBorders>
              <w:top w:val="nil"/>
              <w:left w:val="nil"/>
              <w:bottom w:val="nil"/>
              <w:right w:val="nil"/>
              <w:tl2br w:val="nil"/>
              <w:tr2bl w:val="nil"/>
            </w:tcBorders>
            <w:shd w:val="clear" w:color="auto" w:fill="auto"/>
            <w:noWrap/>
            <w:tcMar>
              <w:left w:w="40" w:type="dxa"/>
              <w:right w:w="4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55,01%</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133.658</w:t>
            </w:r>
          </w:p>
        </w:tc>
        <w:tc>
          <w:tcPr>
            <w:tcW w:w="735" w:type="dxa"/>
            <w:tcBorders>
              <w:top w:val="nil"/>
              <w:left w:val="nil"/>
              <w:bottom w:val="nil"/>
              <w:right w:val="nil"/>
              <w:tl2br w:val="nil"/>
              <w:tr2bl w:val="nil"/>
            </w:tcBorders>
            <w:shd w:val="clear" w:color="auto" w:fill="auto"/>
            <w:noWrap/>
            <w:tcMar>
              <w:left w:w="40" w:type="dxa"/>
              <w:right w:w="40" w:type="dxa"/>
            </w:tcMar>
            <w:vAlign w:val="bottom"/>
          </w:tcPr>
          <w:p w:rsidR="00566CE2" w:rsidRDefault="00A82039">
            <w:pPr>
              <w:spacing w:before="0"/>
              <w:jc w:val="right"/>
              <w:rPr>
                <w:rFonts w:eastAsia="Arial" w:cs="Arial"/>
                <w:b/>
                <w:color w:val="000000"/>
                <w:sz w:val="16"/>
                <w:szCs w:val="24"/>
                <w:lang w:eastAsia="en-US"/>
              </w:rPr>
            </w:pPr>
            <w:r>
              <w:rPr>
                <w:rFonts w:eastAsia="Arial" w:cs="Arial"/>
                <w:b/>
                <w:color w:val="000000"/>
                <w:sz w:val="16"/>
                <w:szCs w:val="24"/>
                <w:lang w:eastAsia="en-US"/>
              </w:rPr>
              <w:t>51,76%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nil"/>
              <w:right w:val="nil"/>
              <w:tl2br w:val="nil"/>
              <w:tr2bl w:val="nil"/>
            </w:tcBorders>
            <w:shd w:val="clear" w:color="FFFFFF" w:fill="FFFFFF"/>
            <w:noWrap/>
            <w:tcMar>
              <w:left w:w="31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Dividendos</w:t>
            </w:r>
          </w:p>
        </w:tc>
        <w:tc>
          <w:tcPr>
            <w:tcW w:w="555" w:type="dxa"/>
            <w:tcBorders>
              <w:top w:val="nil"/>
              <w:left w:val="nil"/>
              <w:bottom w:val="nil"/>
              <w:right w:val="nil"/>
              <w:tl2br w:val="nil"/>
              <w:tr2bl w:val="nil"/>
            </w:tcBorders>
            <w:shd w:val="clear" w:color="FFFFFF" w:fill="FFFFFF"/>
            <w:noWrap/>
            <w:tcMar>
              <w:left w:w="40" w:type="dxa"/>
              <w:right w:w="40" w:type="dxa"/>
            </w:tcMar>
            <w:vAlign w:val="bottom"/>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15.d</w:t>
            </w: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199.565</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c>
          <w:tcPr>
            <w:tcW w:w="1515" w:type="dxa"/>
            <w:tcBorders>
              <w:top w:val="nil"/>
              <w:left w:val="nil"/>
              <w:bottom w:val="nil"/>
              <w:right w:val="nil"/>
              <w:tl2br w:val="nil"/>
              <w:tr2bl w:val="nil"/>
            </w:tcBorders>
            <w:shd w:val="clear" w:color="FFFFFF" w:fill="FFFFFF"/>
            <w:noWrap/>
            <w:tcMar>
              <w:left w:w="40" w:type="dxa"/>
              <w:right w:w="100" w:type="dxa"/>
            </w:tcMar>
            <w:vAlign w:val="bottom"/>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126.975</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650" w:type="dxa"/>
            <w:tcBorders>
              <w:top w:val="nil"/>
              <w:left w:val="nil"/>
              <w:bottom w:val="single" w:sz="4" w:space="0" w:color="000000"/>
              <w:right w:val="nil"/>
              <w:tl2br w:val="nil"/>
              <w:tr2bl w:val="nil"/>
            </w:tcBorders>
            <w:shd w:val="clear" w:color="FFFFFF" w:fill="FFFFFF"/>
            <w:noWrap/>
            <w:tcMar>
              <w:left w:w="31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Lucros retidos</w:t>
            </w:r>
          </w:p>
        </w:tc>
        <w:tc>
          <w:tcPr>
            <w:tcW w:w="555" w:type="dxa"/>
            <w:tcBorders>
              <w:top w:val="nil"/>
              <w:left w:val="nil"/>
              <w:bottom w:val="single" w:sz="4" w:space="0" w:color="000000"/>
              <w:right w:val="nil"/>
              <w:tl2br w:val="nil"/>
              <w:tr2bl w:val="nil"/>
            </w:tcBorders>
            <w:shd w:val="clear" w:color="FFFFFF" w:fill="FFFFFF"/>
            <w:noWrap/>
            <w:tcMar>
              <w:left w:w="40" w:type="dxa"/>
              <w:right w:w="40" w:type="dxa"/>
            </w:tcMar>
            <w:vAlign w:val="bottom"/>
          </w:tcPr>
          <w:p w:rsidR="00566CE2" w:rsidRDefault="00A82039">
            <w:pPr>
              <w:spacing w:before="0"/>
              <w:jc w:val="center"/>
              <w:rPr>
                <w:rFonts w:eastAsia="Arial" w:cs="Arial"/>
                <w:color w:val="000000"/>
                <w:sz w:val="16"/>
                <w:szCs w:val="24"/>
                <w:lang w:eastAsia="en-US"/>
              </w:rPr>
            </w:pPr>
            <w:r>
              <w:rPr>
                <w:rFonts w:eastAsia="Arial" w:cs="Arial"/>
                <w:color w:val="000000"/>
                <w:sz w:val="16"/>
                <w:szCs w:val="24"/>
                <w:lang w:eastAsia="en-US"/>
              </w:rPr>
              <w:t>15.d</w:t>
            </w:r>
          </w:p>
        </w:tc>
        <w:tc>
          <w:tcPr>
            <w:tcW w:w="151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10.503</w:t>
            </w:r>
          </w:p>
        </w:tc>
        <w:tc>
          <w:tcPr>
            <w:tcW w:w="73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color w:val="000000"/>
                <w:sz w:val="16"/>
                <w:szCs w:val="24"/>
                <w:lang w:eastAsia="en-US"/>
              </w:rPr>
            </w:pPr>
          </w:p>
        </w:tc>
        <w:tc>
          <w:tcPr>
            <w:tcW w:w="151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rsidR="00566CE2" w:rsidRDefault="00A82039">
            <w:pPr>
              <w:spacing w:before="0"/>
              <w:jc w:val="right"/>
              <w:rPr>
                <w:rFonts w:eastAsia="Arial" w:cs="Arial"/>
                <w:color w:val="000000"/>
                <w:sz w:val="16"/>
                <w:szCs w:val="24"/>
                <w:lang w:eastAsia="en-US"/>
              </w:rPr>
            </w:pPr>
            <w:r>
              <w:rPr>
                <w:rFonts w:eastAsia="Arial" w:cs="Arial"/>
                <w:color w:val="000000"/>
                <w:sz w:val="16"/>
                <w:szCs w:val="24"/>
                <w:lang w:eastAsia="en-US"/>
              </w:rPr>
              <w:t>6.683</w:t>
            </w:r>
          </w:p>
        </w:tc>
        <w:tc>
          <w:tcPr>
            <w:tcW w:w="73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rsidR="00566CE2" w:rsidRDefault="00566CE2">
            <w:pPr>
              <w:spacing w:before="0"/>
              <w:jc w:val="right"/>
              <w:rPr>
                <w:rFonts w:eastAsia="Arial" w:cs="Arial"/>
                <w:b/>
                <w:color w:val="000000"/>
                <w:sz w:val="16"/>
                <w:szCs w:val="24"/>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8970" w:type="dxa"/>
            <w:gridSpan w:val="5"/>
            <w:tcBorders>
              <w:top w:val="single" w:sz="4" w:space="0" w:color="000000"/>
              <w:left w:val="nil"/>
              <w:bottom w:val="nil"/>
              <w:right w:val="nil"/>
              <w:tl2br w:val="nil"/>
              <w:tr2bl w:val="nil"/>
            </w:tcBorders>
            <w:shd w:val="clear" w:color="FFFFFF" w:fill="FFFFFF"/>
            <w:noWrap/>
            <w:tcMar>
              <w:left w:w="40" w:type="dxa"/>
              <w:right w:w="40" w:type="dxa"/>
            </w:tcMar>
            <w:vAlign w:val="center"/>
          </w:tcPr>
          <w:p w:rsidR="00566CE2" w:rsidRDefault="00A82039">
            <w:pPr>
              <w:spacing w:before="0"/>
              <w:jc w:val="left"/>
              <w:rPr>
                <w:rFonts w:eastAsia="Arial" w:cs="Arial"/>
                <w:color w:val="000000"/>
                <w:sz w:val="16"/>
                <w:szCs w:val="24"/>
                <w:lang w:eastAsia="en-US"/>
              </w:rPr>
            </w:pPr>
            <w:r>
              <w:rPr>
                <w:rFonts w:eastAsia="Arial" w:cs="Arial"/>
                <w:color w:val="000000"/>
                <w:sz w:val="16"/>
                <w:szCs w:val="24"/>
                <w:lang w:eastAsia="en-US"/>
              </w:rPr>
              <w:t>As notas explicativas são parte integrante das demonstrações contábeis.</w:t>
            </w:r>
          </w:p>
        </w:tc>
        <w:tc>
          <w:tcPr>
            <w:tcW w:w="73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rsidR="00566CE2" w:rsidRDefault="00566CE2">
            <w:pPr>
              <w:spacing w:before="0"/>
              <w:jc w:val="left"/>
              <w:rPr>
                <w:rFonts w:eastAsia="Arial" w:cs="Arial"/>
                <w:color w:val="000000"/>
                <w:sz w:val="16"/>
                <w:szCs w:val="24"/>
                <w:lang w:eastAsia="en-US"/>
              </w:rPr>
            </w:pPr>
          </w:p>
        </w:tc>
      </w:tr>
    </w:tbl>
    <w:p w:rsidR="00566CE2" w:rsidRDefault="00566CE2">
      <w:pPr>
        <w:sectPr w:rsidR="00566CE2">
          <w:headerReference w:type="even" r:id="rId31"/>
          <w:headerReference w:type="default" r:id="rId32"/>
          <w:footerReference w:type="even" r:id="rId33"/>
          <w:footerReference w:type="default" r:id="rId34"/>
          <w:headerReference w:type="first" r:id="rId35"/>
          <w:footerReference w:type="first" r:id="rId36"/>
          <w:type w:val="continuous"/>
          <w:pgSz w:w="11906" w:h="16838"/>
          <w:pgMar w:top="1134" w:right="1134" w:bottom="1134" w:left="1134" w:header="425" w:footer="425" w:gutter="0"/>
          <w:pgBorders>
            <w:top w:val="nil"/>
            <w:left w:val="nil"/>
            <w:bottom w:val="nil"/>
            <w:right w:val="nil"/>
          </w:pgBorders>
          <w:cols w:space="708"/>
        </w:sectPr>
      </w:pPr>
    </w:p>
    <w:p w:rsidR="009F2D7E" w:rsidRPr="00C464B6" w:rsidRDefault="00A82039" w:rsidP="00C464B6">
      <w:pPr>
        <w:pStyle w:val="02-TtulodeNota"/>
        <w:pageBreakBefore/>
        <w:pBdr>
          <w:top w:val="nil"/>
          <w:left w:val="nil"/>
          <w:bottom w:val="nil"/>
          <w:right w:val="nil"/>
          <w:between w:val="nil"/>
          <w:bar w:val="nil"/>
        </w:pBdr>
        <w:rPr>
          <w:bdr w:val="nil"/>
        </w:rPr>
      </w:pPr>
      <w:r w:rsidRPr="00C464B6">
        <w:rPr>
          <w:bdr w:val="nil"/>
        </w:rPr>
        <w:lastRenderedPageBreak/>
        <w:t>1 - A ATIVOS S.A. E SUAS OPERAÇÕES</w:t>
      </w:r>
    </w:p>
    <w:p w:rsidR="009F2D7E" w:rsidRDefault="00A82039" w:rsidP="003A1FE2">
      <w:pPr>
        <w:pStyle w:val="01-Textonormal"/>
        <w:pBdr>
          <w:top w:val="nil"/>
          <w:left w:val="nil"/>
          <w:bottom w:val="nil"/>
          <w:right w:val="nil"/>
          <w:between w:val="nil"/>
          <w:bar w:val="nil"/>
        </w:pBdr>
        <w:spacing w:line="240" w:lineRule="auto"/>
        <w:rPr>
          <w:bdr w:val="nil"/>
        </w:rPr>
      </w:pPr>
      <w:r>
        <w:rPr>
          <w:bdr w:val="nil"/>
        </w:rPr>
        <w:t xml:space="preserve">A Ativos S.A. - Securitizadora de Créditos Financeiros (Ativos S.A. ou Companhia) é uma sociedade </w:t>
      </w:r>
      <w:r w:rsidRPr="009F2D7E">
        <w:rPr>
          <w:bdr w:val="nil"/>
        </w:rPr>
        <w:t>anônima de capital fechado, constituída em 31.10.2002, localizada no SEPN 50</w:t>
      </w:r>
      <w:r>
        <w:rPr>
          <w:bdr w:val="nil"/>
        </w:rPr>
        <w:t>8</w:t>
      </w:r>
      <w:r w:rsidRPr="009F2D7E">
        <w:rPr>
          <w:bdr w:val="nil"/>
        </w:rPr>
        <w:t xml:space="preserve">, </w:t>
      </w:r>
      <w:r>
        <w:rPr>
          <w:bdr w:val="nil"/>
        </w:rPr>
        <w:t>Conjunto C, 2º andar, Parte B, Asa Norte, Brasília-DF. Tem por objeto a aquisição de créditos oriundos de operações praticadas por bancos múltiplos, bancos comerciais, bancos de investimentos, sociedades de créditos imobiliários, sociedades de arrendamento mercantil, sociedades de crédito, financiamento e investimento, associações de poupança e empréstimo, caixas econômicas e companhias hipotecárias, realizando a gestão dos respectivos créditos e podendo, ainda, participar de outras sociedades.</w:t>
      </w:r>
    </w:p>
    <w:p w:rsidR="009F2D7E" w:rsidRPr="0062264D" w:rsidRDefault="00A82039" w:rsidP="003A1FE2">
      <w:pPr>
        <w:pStyle w:val="01-Textonormal"/>
        <w:pBdr>
          <w:top w:val="nil"/>
          <w:left w:val="nil"/>
          <w:bottom w:val="nil"/>
          <w:right w:val="nil"/>
          <w:between w:val="nil"/>
          <w:bar w:val="nil"/>
        </w:pBdr>
        <w:spacing w:line="240" w:lineRule="auto"/>
        <w:rPr>
          <w:bdr w:val="nil"/>
        </w:rPr>
      </w:pPr>
      <w:r w:rsidRPr="0062264D">
        <w:rPr>
          <w:bdr w:val="nil"/>
        </w:rPr>
        <w:t xml:space="preserve">O </w:t>
      </w:r>
      <w:r>
        <w:rPr>
          <w:bdr w:val="nil"/>
        </w:rPr>
        <w:t>capital s</w:t>
      </w:r>
      <w:r w:rsidRPr="0062264D">
        <w:rPr>
          <w:bdr w:val="nil"/>
        </w:rPr>
        <w:t xml:space="preserve">ocial da Ativos S.A. é constituído por recursos das empresas BB Banco de Investimento S.A. - BB BI e </w:t>
      </w:r>
      <w:r w:rsidRPr="00163922">
        <w:rPr>
          <w:i/>
          <w:bdr w:val="nil"/>
        </w:rPr>
        <w:t>BB Cayman Islands Holding – BB CI Holding</w:t>
      </w:r>
      <w:r w:rsidRPr="0062264D">
        <w:rPr>
          <w:bdr w:val="nil"/>
        </w:rPr>
        <w:t>, empresas controladas pelo Banco do Brasil S.A.</w:t>
      </w:r>
    </w:p>
    <w:p w:rsidR="00287271" w:rsidRDefault="00A82039" w:rsidP="003A1FE2">
      <w:pPr>
        <w:pStyle w:val="01-Textonormal"/>
        <w:pBdr>
          <w:top w:val="nil"/>
          <w:left w:val="nil"/>
          <w:bottom w:val="nil"/>
          <w:right w:val="nil"/>
          <w:between w:val="nil"/>
          <w:bar w:val="nil"/>
        </w:pBdr>
        <w:spacing w:line="240" w:lineRule="auto"/>
        <w:rPr>
          <w:bdr w:val="nil"/>
        </w:rPr>
      </w:pPr>
      <w:r>
        <w:rPr>
          <w:bdr w:val="nil"/>
        </w:rPr>
        <w:t>A Ativos S.A. participa com 100% no capital social da Ativos S.A. Gestão de Cobrança e Recuperação de Crédito.</w:t>
      </w:r>
    </w:p>
    <w:p w:rsidR="00281FCE" w:rsidRDefault="00A82039" w:rsidP="003A1FE2">
      <w:pPr>
        <w:pStyle w:val="01-Textonormal"/>
        <w:pBdr>
          <w:top w:val="nil"/>
          <w:left w:val="nil"/>
          <w:bottom w:val="nil"/>
          <w:right w:val="nil"/>
          <w:between w:val="nil"/>
          <w:bar w:val="nil"/>
        </w:pBdr>
        <w:spacing w:line="240" w:lineRule="auto"/>
        <w:rPr>
          <w:bdr w:val="nil"/>
        </w:rPr>
      </w:pPr>
      <w:r>
        <w:rPr>
          <w:bdr w:val="nil"/>
        </w:rPr>
        <w:t>Como parte integrante do Conglomerado Banco do Brasil, suas operações são conduzidas em um contexto que envolve um conjunto de empresas que atuam no mercado utilizando-se, de forma compartilhada, de parte da infraestrutura administrativa dessas empresas. Suas demonstrações contábeis devem ser entendidas nesse contexto.</w:t>
      </w:r>
    </w:p>
    <w:p w:rsidR="00566CE2" w:rsidRDefault="00566CE2">
      <w:pPr>
        <w:pBdr>
          <w:top w:val="nil"/>
          <w:left w:val="nil"/>
          <w:bottom w:val="nil"/>
          <w:right w:val="nil"/>
          <w:between w:val="nil"/>
          <w:bar w:val="nil"/>
        </w:pBdr>
        <w:spacing w:before="0" w:after="0" w:line="240" w:lineRule="auto"/>
        <w:jc w:val="left"/>
        <w:rPr>
          <w:bdr w:val="nil"/>
        </w:rPr>
      </w:pPr>
    </w:p>
    <w:p w:rsidR="00AC5EB6" w:rsidRDefault="00A82039" w:rsidP="0068089D">
      <w:pPr>
        <w:pStyle w:val="02-TtulodeNota"/>
        <w:pBdr>
          <w:top w:val="nil"/>
          <w:left w:val="nil"/>
          <w:bottom w:val="nil"/>
          <w:right w:val="nil"/>
          <w:between w:val="nil"/>
          <w:bar w:val="nil"/>
        </w:pBdr>
        <w:spacing w:before="120"/>
        <w:rPr>
          <w:rFonts w:cs="Times New Roman"/>
          <w:color w:val="auto"/>
          <w:szCs w:val="20"/>
          <w:bdr w:val="nil"/>
        </w:rPr>
      </w:pPr>
      <w:r w:rsidRPr="005939E0">
        <w:rPr>
          <w:bdr w:val="nil"/>
        </w:rPr>
        <w:t>2 -</w:t>
      </w:r>
      <w:r w:rsidRPr="005939E0">
        <w:rPr>
          <w:rFonts w:ascii="Calibri" w:hAnsi="Calibri" w:cs="Times New Roman"/>
          <w:bdr w:val="nil"/>
        </w:rPr>
        <w:t xml:space="preserve"> </w:t>
      </w:r>
      <w:r>
        <w:rPr>
          <w:rFonts w:cs="Times New Roman"/>
          <w:color w:val="auto"/>
          <w:szCs w:val="20"/>
          <w:bdr w:val="nil"/>
        </w:rPr>
        <w:t>APRESENTAÇÃO DAS DEMONSTRAÇÕES CONTÁBEIS</w:t>
      </w:r>
    </w:p>
    <w:p w:rsidR="00AC5EB6" w:rsidRDefault="00A82039" w:rsidP="00A1792D">
      <w:pPr>
        <w:pStyle w:val="01-Textonormal"/>
        <w:pBdr>
          <w:top w:val="nil"/>
          <w:left w:val="nil"/>
          <w:bottom w:val="nil"/>
          <w:right w:val="nil"/>
          <w:between w:val="nil"/>
          <w:bar w:val="nil"/>
        </w:pBdr>
        <w:spacing w:line="240" w:lineRule="auto"/>
        <w:rPr>
          <w:bdr w:val="nil"/>
        </w:rPr>
      </w:pPr>
      <w:r>
        <w:rPr>
          <w:bdr w:val="nil"/>
        </w:rPr>
        <w:t>As demonstrações contábeis foram elaboradas a partir de diretrizes contábeis emanadas da Lei das Sociedades por Ações e estão apresentadas de acordo com as práticas contábeis adotadas no Brasil, que compreendem os pronunciamentos do Comitê de Pronunciamentos Contábeis (CPC), aprovados pelo Conselho Federal de Contabilidade (CFC), por meio das resoluções NBC TG e pela Comissão de Valores Mobiliários (CVM).</w:t>
      </w:r>
    </w:p>
    <w:p w:rsidR="00AC5EB6" w:rsidRDefault="00A82039" w:rsidP="00A1792D">
      <w:pPr>
        <w:pStyle w:val="01-Textonormal"/>
        <w:pBdr>
          <w:top w:val="nil"/>
          <w:left w:val="nil"/>
          <w:bottom w:val="nil"/>
          <w:right w:val="nil"/>
          <w:between w:val="nil"/>
          <w:bar w:val="nil"/>
        </w:pBdr>
        <w:spacing w:line="240" w:lineRule="auto"/>
        <w:rPr>
          <w:bdr w:val="nil"/>
        </w:rPr>
      </w:pPr>
      <w:r>
        <w:rPr>
          <w:bdr w:val="nil"/>
        </w:rPr>
        <w:t>A elaboração de demonstrações de acordo com as práticas contábeis adotadas no Brasil requer que a Administração use de julgamento na determinação e registro de estimativas contábeis, quando for o caso. Ativos e passivos significativos sujeitos a essas estimativas e premissas incluem o ativo fiscal diferido, as antecipações do imposto de renda e contribuição social, provisão para demandas contingentes e outras provisões. Os valores definitivos das transações envolvendo essas estimativas somente são conhecidos por ocasião da sua liquidação.</w:t>
      </w:r>
      <w:bookmarkStart w:id="1" w:name="_GoBack"/>
      <w:bookmarkEnd w:id="1"/>
    </w:p>
    <w:p w:rsidR="00AC5EB6" w:rsidRDefault="00A82039" w:rsidP="00A1792D">
      <w:pPr>
        <w:pStyle w:val="01-Textonormal"/>
        <w:pBdr>
          <w:top w:val="nil"/>
          <w:left w:val="nil"/>
          <w:bottom w:val="nil"/>
          <w:right w:val="nil"/>
          <w:between w:val="nil"/>
          <w:bar w:val="nil"/>
        </w:pBdr>
        <w:spacing w:line="240" w:lineRule="auto"/>
        <w:rPr>
          <w:bCs/>
          <w:bdr w:val="nil"/>
        </w:rPr>
      </w:pPr>
      <w:r>
        <w:rPr>
          <w:bCs/>
          <w:bdr w:val="nil"/>
        </w:rPr>
        <w:t>A Ativos S.A. não apresenta suas demonstrações contábeis de forma consolidada, em conformidade com o item 4 do CPC</w:t>
      </w:r>
      <w:r>
        <w:rPr>
          <w:rFonts w:cs="Arial"/>
          <w:bCs/>
          <w:bdr w:val="nil"/>
        </w:rPr>
        <w:t xml:space="preserve"> 36 (R3) –</w:t>
      </w:r>
      <w:r>
        <w:rPr>
          <w:bCs/>
          <w:bdr w:val="nil"/>
        </w:rPr>
        <w:t xml:space="preserve"> Demonstrações Consolidadas. </w:t>
      </w:r>
    </w:p>
    <w:p w:rsidR="00314754" w:rsidRDefault="00A82039" w:rsidP="00C77829">
      <w:pPr>
        <w:pStyle w:val="01-Textonormal"/>
        <w:pBdr>
          <w:top w:val="nil"/>
          <w:left w:val="nil"/>
          <w:bottom w:val="nil"/>
          <w:right w:val="nil"/>
          <w:between w:val="nil"/>
          <w:bar w:val="nil"/>
        </w:pBdr>
        <w:spacing w:line="240" w:lineRule="auto"/>
        <w:rPr>
          <w:color w:val="000000"/>
          <w:bdr w:val="nil"/>
        </w:rPr>
      </w:pPr>
      <w:r>
        <w:rPr>
          <w:color w:val="000000"/>
          <w:bdr w:val="nil"/>
        </w:rPr>
        <w:t xml:space="preserve">As demonstrações contábeis foram aprovadas pelo Conselho de Administração </w:t>
      </w:r>
      <w:r w:rsidRPr="00CB28AB">
        <w:rPr>
          <w:color w:val="000000"/>
          <w:bdr w:val="nil"/>
        </w:rPr>
        <w:t xml:space="preserve">em </w:t>
      </w:r>
      <w:r w:rsidRPr="004F34F9">
        <w:rPr>
          <w:color w:val="000000"/>
          <w:bdr w:val="nil"/>
        </w:rPr>
        <w:t>21.02.2020</w:t>
      </w:r>
      <w:r w:rsidRPr="00CB28AB">
        <w:rPr>
          <w:color w:val="000000"/>
          <w:bdr w:val="nil"/>
        </w:rPr>
        <w:t>.</w:t>
      </w:r>
    </w:p>
    <w:p w:rsidR="00B915B0" w:rsidRDefault="00B915B0" w:rsidP="00C77829">
      <w:pPr>
        <w:pStyle w:val="01-Textonormal"/>
        <w:pBdr>
          <w:top w:val="nil"/>
          <w:left w:val="nil"/>
          <w:bottom w:val="nil"/>
          <w:right w:val="nil"/>
          <w:between w:val="nil"/>
          <w:bar w:val="nil"/>
        </w:pBdr>
        <w:spacing w:line="240" w:lineRule="auto"/>
        <w:rPr>
          <w:color w:val="000000"/>
          <w:bdr w:val="nil"/>
        </w:rPr>
      </w:pPr>
    </w:p>
    <w:p w:rsidR="003D251E" w:rsidRPr="00047A0C" w:rsidRDefault="00A82039" w:rsidP="00BF15B4">
      <w:pPr>
        <w:pStyle w:val="02-TtulodeNota"/>
        <w:pBdr>
          <w:top w:val="nil"/>
          <w:left w:val="nil"/>
          <w:bottom w:val="nil"/>
          <w:right w:val="nil"/>
          <w:between w:val="nil"/>
          <w:bar w:val="nil"/>
        </w:pBdr>
        <w:spacing w:before="120" w:line="276" w:lineRule="auto"/>
        <w:rPr>
          <w:rFonts w:cs="Times New Roman"/>
          <w:color w:val="auto"/>
          <w:bdr w:val="nil"/>
        </w:rPr>
      </w:pPr>
      <w:r w:rsidRPr="00BF15B4">
        <w:rPr>
          <w:rFonts w:cs="Times New Roman"/>
          <w:szCs w:val="20"/>
          <w:bdr w:val="nil"/>
        </w:rPr>
        <w:t>3</w:t>
      </w:r>
      <w:r>
        <w:rPr>
          <w:rFonts w:cs="Times New Roman"/>
          <w:szCs w:val="20"/>
          <w:bdr w:val="nil"/>
        </w:rPr>
        <w:t xml:space="preserve"> - </w:t>
      </w:r>
      <w:r w:rsidRPr="00047A0C">
        <w:rPr>
          <w:rFonts w:cs="Times New Roman"/>
          <w:color w:val="auto"/>
          <w:szCs w:val="20"/>
          <w:bdr w:val="nil"/>
        </w:rPr>
        <w:t>RESUMO DAS PRINCIPAIS PRÁTICAS CONTÁBEIS</w:t>
      </w:r>
    </w:p>
    <w:p w:rsidR="003D251E" w:rsidRDefault="00A82039" w:rsidP="00090AE1">
      <w:pPr>
        <w:pStyle w:val="01-Textonormal"/>
        <w:pBdr>
          <w:top w:val="nil"/>
          <w:left w:val="nil"/>
          <w:bottom w:val="nil"/>
          <w:right w:val="nil"/>
          <w:between w:val="nil"/>
          <w:bar w:val="nil"/>
        </w:pBdr>
        <w:rPr>
          <w:bdr w:val="nil"/>
        </w:rPr>
      </w:pPr>
      <w:r>
        <w:rPr>
          <w:bdr w:val="nil"/>
        </w:rPr>
        <w:t>As políticas contábeis adotadas pela Ativos S.A. são aplicadas de forma consistente em todos os períodos apresentados nestas demonstrações contábeis.</w:t>
      </w:r>
    </w:p>
    <w:p w:rsidR="003D251E" w:rsidRPr="00A869EF" w:rsidRDefault="00A82039" w:rsidP="00A869EF">
      <w:pPr>
        <w:pStyle w:val="03-SubttulodeNota"/>
        <w:pBdr>
          <w:top w:val="nil"/>
          <w:left w:val="nil"/>
          <w:bottom w:val="nil"/>
          <w:right w:val="nil"/>
          <w:between w:val="nil"/>
          <w:bar w:val="nil"/>
        </w:pBdr>
        <w:rPr>
          <w:sz w:val="20"/>
          <w:bdr w:val="nil"/>
        </w:rPr>
      </w:pPr>
      <w:r>
        <w:rPr>
          <w:bdr w:val="nil"/>
        </w:rPr>
        <w:t>Apuração do Resultado</w:t>
      </w:r>
    </w:p>
    <w:p w:rsidR="003D251E" w:rsidRDefault="00A82039" w:rsidP="00090AE1">
      <w:pPr>
        <w:pStyle w:val="01-Textonormal"/>
        <w:pBdr>
          <w:top w:val="nil"/>
          <w:left w:val="nil"/>
          <w:bottom w:val="nil"/>
          <w:right w:val="nil"/>
          <w:between w:val="nil"/>
          <w:bar w:val="nil"/>
        </w:pBdr>
        <w:rPr>
          <w:bdr w:val="nil"/>
        </w:rPr>
      </w:pPr>
      <w:r>
        <w:rPr>
          <w:bdr w:val="nil"/>
        </w:rPr>
        <w:t xml:space="preserve">As receitas e despesas são registradas de acordo com o regime de competência, exceto aquelas receitas oriundas das operações de créditos adquiridos, que por se tratarem de créditos “estressados”, referindo-se a créditos com qualidade deteriorada, originados de instituições onde se encontravam no </w:t>
      </w:r>
      <w:r w:rsidRPr="005959B0">
        <w:rPr>
          <w:i/>
          <w:bdr w:val="nil"/>
        </w:rPr>
        <w:t>status</w:t>
      </w:r>
      <w:r>
        <w:rPr>
          <w:bdr w:val="nil"/>
        </w:rPr>
        <w:t xml:space="preserve"> “baixados para perda”, são reconhecidas somente no momento do efetivo recebimento financeiro, desc</w:t>
      </w:r>
      <w:r w:rsidR="00532ED8">
        <w:rPr>
          <w:bdr w:val="nil"/>
        </w:rPr>
        <w:t xml:space="preserve">ontado dos valores de aquisição, pois não </w:t>
      </w:r>
      <w:r>
        <w:rPr>
          <w:bdr w:val="nil"/>
        </w:rPr>
        <w:t>foi</w:t>
      </w:r>
      <w:r w:rsidR="00532ED8">
        <w:rPr>
          <w:bdr w:val="nil"/>
        </w:rPr>
        <w:t xml:space="preserve"> possível mensurar com confiabilidade a taxa efetiva de juros ajustada pelo risco de crédito das carteiras adquiridas.</w:t>
      </w:r>
    </w:p>
    <w:p w:rsidR="00EC47EA" w:rsidRPr="00CF3640" w:rsidRDefault="00A82039" w:rsidP="00EC47EA">
      <w:pPr>
        <w:pStyle w:val="01-Textonormal"/>
        <w:pBdr>
          <w:top w:val="nil"/>
          <w:left w:val="nil"/>
          <w:bottom w:val="nil"/>
          <w:right w:val="nil"/>
          <w:between w:val="nil"/>
          <w:bar w:val="nil"/>
        </w:pBdr>
        <w:rPr>
          <w:bdr w:val="nil"/>
        </w:rPr>
      </w:pPr>
      <w:r>
        <w:rPr>
          <w:bdr w:val="nil"/>
        </w:rPr>
        <w:t>A</w:t>
      </w:r>
      <w:r w:rsidRPr="00172DF6">
        <w:rPr>
          <w:bdr w:val="nil"/>
        </w:rPr>
        <w:t xml:space="preserve"> apropriação como perdas dos créditos adquiridos considerados incobráveis por erro no cedente, </w:t>
      </w:r>
      <w:r w:rsidR="00566FEE">
        <w:rPr>
          <w:bdr w:val="nil"/>
        </w:rPr>
        <w:t xml:space="preserve">pelo atingimento da vida útil prevista (baixa do estoque), </w:t>
      </w:r>
      <w:r w:rsidRPr="00172DF6">
        <w:rPr>
          <w:bdr w:val="nil"/>
        </w:rPr>
        <w:t xml:space="preserve">operações sem acordo ou acordos quebrados e inadimplidos, </w:t>
      </w:r>
      <w:r>
        <w:rPr>
          <w:bdr w:val="nil"/>
        </w:rPr>
        <w:t xml:space="preserve">é realizada </w:t>
      </w:r>
      <w:r w:rsidRPr="00172DF6">
        <w:rPr>
          <w:bdr w:val="nil"/>
        </w:rPr>
        <w:t>conforme metodologia desenvolvida pela Ativos S.A.</w:t>
      </w:r>
    </w:p>
    <w:p w:rsidR="003D251E" w:rsidRDefault="00A82039" w:rsidP="00090AE1">
      <w:pPr>
        <w:pStyle w:val="01-Textonormal"/>
        <w:pBdr>
          <w:top w:val="nil"/>
          <w:left w:val="nil"/>
          <w:bottom w:val="nil"/>
          <w:right w:val="nil"/>
          <w:between w:val="nil"/>
          <w:bar w:val="nil"/>
        </w:pBdr>
        <w:rPr>
          <w:bdr w:val="nil"/>
        </w:rPr>
      </w:pPr>
      <w:r>
        <w:rPr>
          <w:bdr w:val="nil"/>
        </w:rPr>
        <w:t xml:space="preserve">As operações formalizadas com encargos financeiros pós-fixados são atualizadas pelo critério </w:t>
      </w:r>
      <w:r>
        <w:rPr>
          <w:i/>
          <w:bdr w:val="nil"/>
        </w:rPr>
        <w:t>pro rata die</w:t>
      </w:r>
      <w:r>
        <w:rPr>
          <w:bdr w:val="nil"/>
        </w:rPr>
        <w:t xml:space="preserve"> com base na variação dos respectivos indexadores pactuados e as operações com encargos financeiros pré-fixados estão registradas pelo valor de resgate, retificadas por conta de rendas a apropriar ou despesas a apropriar correspondentes ao período futuro.</w:t>
      </w:r>
    </w:p>
    <w:p w:rsidR="003D251E" w:rsidRDefault="00A82039" w:rsidP="00A869EF">
      <w:pPr>
        <w:pStyle w:val="03-SubttulodeNota"/>
        <w:pBdr>
          <w:top w:val="nil"/>
          <w:left w:val="nil"/>
          <w:bottom w:val="nil"/>
          <w:right w:val="nil"/>
          <w:between w:val="nil"/>
          <w:bar w:val="nil"/>
        </w:pBdr>
        <w:rPr>
          <w:bdr w:val="nil"/>
        </w:rPr>
      </w:pPr>
      <w:r>
        <w:rPr>
          <w:bdr w:val="nil"/>
        </w:rPr>
        <w:t>Caixa e Equivalentes de Caixa</w:t>
      </w:r>
    </w:p>
    <w:p w:rsidR="003D251E" w:rsidRDefault="00A82039" w:rsidP="00090AE1">
      <w:pPr>
        <w:pStyle w:val="01-Textonormal"/>
        <w:pBdr>
          <w:top w:val="nil"/>
          <w:left w:val="nil"/>
          <w:bottom w:val="nil"/>
          <w:right w:val="nil"/>
          <w:between w:val="nil"/>
          <w:bar w:val="nil"/>
        </w:pBdr>
        <w:rPr>
          <w:bdr w:val="nil"/>
        </w:rPr>
      </w:pPr>
      <w:r>
        <w:rPr>
          <w:bdr w:val="nil"/>
        </w:rPr>
        <w:t>Caixa e equivalentes de caixa estão representados por disponibilidades em moeda nacional e aplicações financeiras, com alta liquidez e risco insignificante de mudança de valor, com prazo de vencimento igual ou inferior a 90 dias (Nota 4).</w:t>
      </w:r>
    </w:p>
    <w:p w:rsidR="003D251E" w:rsidRPr="00A869EF" w:rsidRDefault="00A82039" w:rsidP="00A869EF">
      <w:pPr>
        <w:pStyle w:val="03-SubttulodeNota"/>
        <w:pBdr>
          <w:top w:val="nil"/>
          <w:left w:val="nil"/>
          <w:bottom w:val="nil"/>
          <w:right w:val="nil"/>
          <w:between w:val="nil"/>
          <w:bar w:val="nil"/>
        </w:pBdr>
        <w:rPr>
          <w:sz w:val="20"/>
          <w:bdr w:val="nil"/>
        </w:rPr>
      </w:pPr>
      <w:r>
        <w:rPr>
          <w:bdr w:val="nil"/>
        </w:rPr>
        <w:lastRenderedPageBreak/>
        <w:t>Instrumentos Financeiros</w:t>
      </w:r>
    </w:p>
    <w:p w:rsidR="00A75DBB" w:rsidRPr="004C2033" w:rsidRDefault="00A82039" w:rsidP="00A75DBB">
      <w:pPr>
        <w:pStyle w:val="03-SubttulodeNota"/>
        <w:numPr>
          <w:ilvl w:val="0"/>
          <w:numId w:val="0"/>
        </w:numPr>
        <w:pBdr>
          <w:top w:val="nil"/>
          <w:left w:val="nil"/>
          <w:bottom w:val="nil"/>
          <w:right w:val="nil"/>
          <w:between w:val="nil"/>
          <w:bar w:val="nil"/>
        </w:pBdr>
        <w:ind w:left="454" w:hanging="454"/>
        <w:rPr>
          <w:kern w:val="20"/>
          <w:szCs w:val="20"/>
          <w:bdr w:val="nil"/>
        </w:rPr>
      </w:pPr>
      <w:r w:rsidRPr="004C2033">
        <w:rPr>
          <w:kern w:val="20"/>
          <w:szCs w:val="20"/>
          <w:bdr w:val="nil"/>
        </w:rPr>
        <w:t>Ativos Financeiros</w:t>
      </w:r>
    </w:p>
    <w:p w:rsidR="00A75DBB" w:rsidRPr="00A75DBB" w:rsidRDefault="00A82039" w:rsidP="00A75DBB">
      <w:pPr>
        <w:pStyle w:val="03-SubttulodeNota"/>
        <w:numPr>
          <w:ilvl w:val="0"/>
          <w:numId w:val="0"/>
        </w:numPr>
        <w:pBdr>
          <w:top w:val="nil"/>
          <w:left w:val="nil"/>
          <w:bottom w:val="nil"/>
          <w:right w:val="nil"/>
          <w:between w:val="nil"/>
          <w:bar w:val="nil"/>
        </w:pBdr>
        <w:rPr>
          <w:b w:val="0"/>
          <w:kern w:val="20"/>
          <w:szCs w:val="20"/>
          <w:bdr w:val="nil"/>
        </w:rPr>
      </w:pPr>
      <w:r w:rsidRPr="00A75DBB">
        <w:rPr>
          <w:b w:val="0"/>
          <w:kern w:val="20"/>
          <w:szCs w:val="20"/>
          <w:bdr w:val="nil"/>
        </w:rPr>
        <w:t xml:space="preserve">Conforme o CPC 48, a classificação dos ativos financeiros é realizada a partir de </w:t>
      </w:r>
      <w:r>
        <w:rPr>
          <w:b w:val="0"/>
          <w:kern w:val="20"/>
          <w:szCs w:val="20"/>
          <w:bdr w:val="nil"/>
        </w:rPr>
        <w:t xml:space="preserve">uma análise das características </w:t>
      </w:r>
      <w:r w:rsidRPr="00A75DBB">
        <w:rPr>
          <w:b w:val="0"/>
          <w:kern w:val="20"/>
          <w:szCs w:val="20"/>
          <w:bdr w:val="nil"/>
        </w:rPr>
        <w:t xml:space="preserve">contratuais dos fluxos de caixa e do modelo de negócios da </w:t>
      </w:r>
      <w:r w:rsidR="00566FEE">
        <w:rPr>
          <w:b w:val="0"/>
          <w:kern w:val="20"/>
          <w:szCs w:val="20"/>
          <w:bdr w:val="nil"/>
        </w:rPr>
        <w:t>Companhia</w:t>
      </w:r>
      <w:r w:rsidRPr="00A75DBB">
        <w:rPr>
          <w:b w:val="0"/>
          <w:kern w:val="20"/>
          <w:szCs w:val="20"/>
          <w:bdr w:val="nil"/>
        </w:rPr>
        <w:t xml:space="preserve"> para a gestão dos ativos. Os ativos financeiros são classificados nas categorias abaixo relacionadas:</w:t>
      </w:r>
    </w:p>
    <w:p w:rsidR="00A75DBB" w:rsidRDefault="00A82039" w:rsidP="00A75DBB">
      <w:pPr>
        <w:pStyle w:val="03-SubttulodeNota"/>
        <w:numPr>
          <w:ilvl w:val="0"/>
          <w:numId w:val="0"/>
        </w:numPr>
        <w:pBdr>
          <w:top w:val="nil"/>
          <w:left w:val="nil"/>
          <w:bottom w:val="nil"/>
          <w:right w:val="nil"/>
          <w:between w:val="nil"/>
          <w:bar w:val="nil"/>
        </w:pBdr>
        <w:rPr>
          <w:b w:val="0"/>
          <w:kern w:val="20"/>
          <w:szCs w:val="20"/>
          <w:bdr w:val="nil"/>
        </w:rPr>
      </w:pPr>
      <w:r w:rsidRPr="004C2033">
        <w:rPr>
          <w:b w:val="0"/>
          <w:kern w:val="20"/>
          <w:szCs w:val="20"/>
          <w:u w:val="single"/>
          <w:bdr w:val="nil"/>
        </w:rPr>
        <w:t>Custo amortizado</w:t>
      </w:r>
      <w:r w:rsidRPr="00A75DBB">
        <w:rPr>
          <w:b w:val="0"/>
          <w:kern w:val="20"/>
          <w:szCs w:val="20"/>
          <w:bdr w:val="nil"/>
        </w:rPr>
        <w:t>: são ativos financeiros geridos dentro de modelo de negócios cujo objetivo seja receber os respectivos fluxos de caixa contratuais. Nessa categoria, os fluxos de caixa futuros previstos contratualmente devem constituir-se exclusivamente em pagamentos de principal e juros em datas especificadas.</w:t>
      </w:r>
    </w:p>
    <w:p w:rsidR="00CF3640" w:rsidRPr="00CF3640" w:rsidRDefault="00A82039" w:rsidP="00731643">
      <w:pPr>
        <w:pStyle w:val="Cabealho"/>
        <w:pBdr>
          <w:top w:val="nil"/>
          <w:left w:val="nil"/>
          <w:bottom w:val="nil"/>
          <w:right w:val="nil"/>
          <w:between w:val="nil"/>
          <w:bar w:val="nil"/>
        </w:pBdr>
        <w:jc w:val="both"/>
        <w:rPr>
          <w:rFonts w:ascii="Arial" w:eastAsia="Times New Roman" w:hAnsi="Arial"/>
          <w:kern w:val="20"/>
          <w:sz w:val="18"/>
          <w:szCs w:val="20"/>
          <w:bdr w:val="nil"/>
          <w:lang w:eastAsia="pt-BR"/>
        </w:rPr>
      </w:pPr>
      <w:r>
        <w:rPr>
          <w:rFonts w:ascii="Arial" w:eastAsia="Times New Roman" w:hAnsi="Arial"/>
          <w:kern w:val="20"/>
          <w:sz w:val="18"/>
          <w:szCs w:val="20"/>
          <w:bdr w:val="nil"/>
          <w:lang w:eastAsia="pt-BR"/>
        </w:rPr>
        <w:t>Mensurado</w:t>
      </w:r>
      <w:r w:rsidRPr="00CF3640">
        <w:rPr>
          <w:rFonts w:ascii="Arial" w:eastAsia="Times New Roman" w:hAnsi="Arial"/>
          <w:kern w:val="20"/>
          <w:sz w:val="18"/>
          <w:szCs w:val="20"/>
          <w:bdr w:val="nil"/>
          <w:lang w:eastAsia="pt-BR"/>
        </w:rPr>
        <w:t xml:space="preserve"> nessa categoria </w:t>
      </w:r>
      <w:r>
        <w:rPr>
          <w:rFonts w:ascii="Arial" w:eastAsia="Times New Roman" w:hAnsi="Arial"/>
          <w:kern w:val="20"/>
          <w:sz w:val="18"/>
          <w:szCs w:val="20"/>
          <w:bdr w:val="nil"/>
          <w:lang w:eastAsia="pt-BR"/>
        </w:rPr>
        <w:t>a</w:t>
      </w:r>
      <w:r w:rsidRPr="00CF3640">
        <w:rPr>
          <w:rFonts w:ascii="Arial" w:eastAsia="Times New Roman" w:hAnsi="Arial"/>
          <w:kern w:val="20"/>
          <w:sz w:val="18"/>
          <w:szCs w:val="20"/>
          <w:bdr w:val="nil"/>
          <w:lang w:eastAsia="pt-BR"/>
        </w:rPr>
        <w:t xml:space="preserve"> Ativos </w:t>
      </w:r>
      <w:r>
        <w:rPr>
          <w:rFonts w:ascii="Arial" w:eastAsia="Times New Roman" w:hAnsi="Arial"/>
          <w:kern w:val="20"/>
          <w:sz w:val="18"/>
          <w:szCs w:val="20"/>
          <w:bdr w:val="nil"/>
          <w:lang w:eastAsia="pt-BR"/>
        </w:rPr>
        <w:t>S.A.</w:t>
      </w:r>
      <w:r w:rsidRPr="00CF3640">
        <w:rPr>
          <w:rFonts w:ascii="Arial" w:eastAsia="Times New Roman" w:hAnsi="Arial"/>
          <w:kern w:val="20"/>
          <w:sz w:val="18"/>
          <w:szCs w:val="20"/>
          <w:bdr w:val="nil"/>
          <w:lang w:eastAsia="pt-BR"/>
        </w:rPr>
        <w:t xml:space="preserve"> detém o ativo financeiro “</w:t>
      </w:r>
      <w:r>
        <w:rPr>
          <w:rFonts w:ascii="Arial" w:eastAsia="Times New Roman" w:hAnsi="Arial"/>
          <w:kern w:val="20"/>
          <w:sz w:val="18"/>
          <w:szCs w:val="20"/>
          <w:bdr w:val="nil"/>
          <w:lang w:eastAsia="pt-BR"/>
        </w:rPr>
        <w:t>Créditos adquiridos</w:t>
      </w:r>
      <w:r w:rsidRPr="00CF3640">
        <w:rPr>
          <w:rFonts w:ascii="Arial" w:eastAsia="Times New Roman" w:hAnsi="Arial"/>
          <w:kern w:val="20"/>
          <w:sz w:val="18"/>
          <w:szCs w:val="20"/>
          <w:bdr w:val="nil"/>
          <w:lang w:eastAsia="pt-BR"/>
        </w:rPr>
        <w:t>”</w:t>
      </w:r>
      <w:r>
        <w:rPr>
          <w:rFonts w:ascii="Arial" w:eastAsia="Times New Roman" w:hAnsi="Arial"/>
          <w:kern w:val="20"/>
          <w:sz w:val="18"/>
          <w:szCs w:val="20"/>
          <w:bdr w:val="nil"/>
          <w:lang w:eastAsia="pt-BR"/>
        </w:rPr>
        <w:t>, sem coobrigação,</w:t>
      </w:r>
      <w:r w:rsidRPr="00CF3640">
        <w:rPr>
          <w:rFonts w:ascii="Arial" w:eastAsia="Times New Roman" w:hAnsi="Arial"/>
          <w:kern w:val="20"/>
          <w:sz w:val="18"/>
          <w:szCs w:val="20"/>
          <w:bdr w:val="nil"/>
          <w:lang w:eastAsia="pt-BR"/>
        </w:rPr>
        <w:t xml:space="preserve"> que são </w:t>
      </w:r>
      <w:r>
        <w:rPr>
          <w:rFonts w:ascii="Arial" w:eastAsia="Times New Roman" w:hAnsi="Arial"/>
          <w:kern w:val="20"/>
          <w:sz w:val="18"/>
          <w:szCs w:val="20"/>
          <w:bdr w:val="nil"/>
          <w:lang w:eastAsia="pt-BR"/>
        </w:rPr>
        <w:t>operações de créditos</w:t>
      </w:r>
      <w:r w:rsidRPr="00CF3640">
        <w:rPr>
          <w:rFonts w:ascii="Arial" w:eastAsia="Times New Roman" w:hAnsi="Arial"/>
          <w:kern w:val="20"/>
          <w:sz w:val="18"/>
          <w:szCs w:val="20"/>
          <w:bdr w:val="nil"/>
          <w:lang w:eastAsia="pt-BR"/>
        </w:rPr>
        <w:t xml:space="preserve"> </w:t>
      </w:r>
      <w:r>
        <w:rPr>
          <w:rFonts w:ascii="Arial" w:eastAsia="Times New Roman" w:hAnsi="Arial"/>
          <w:kern w:val="20"/>
          <w:sz w:val="18"/>
          <w:szCs w:val="20"/>
          <w:bdr w:val="nil"/>
          <w:lang w:eastAsia="pt-BR"/>
        </w:rPr>
        <w:t>de qualidade deteriorada obtidos de instituições financeiras.</w:t>
      </w:r>
      <w:r w:rsidRPr="00172DF6">
        <w:rPr>
          <w:bdr w:val="nil"/>
        </w:rPr>
        <w:t xml:space="preserve"> </w:t>
      </w:r>
    </w:p>
    <w:p w:rsidR="00A75DBB" w:rsidRDefault="00A82039" w:rsidP="00A75DBB">
      <w:pPr>
        <w:pStyle w:val="03-SubttulodeNota"/>
        <w:numPr>
          <w:ilvl w:val="0"/>
          <w:numId w:val="0"/>
        </w:numPr>
        <w:pBdr>
          <w:top w:val="nil"/>
          <w:left w:val="nil"/>
          <w:bottom w:val="nil"/>
          <w:right w:val="nil"/>
          <w:between w:val="nil"/>
          <w:bar w:val="nil"/>
        </w:pBdr>
        <w:rPr>
          <w:b w:val="0"/>
          <w:kern w:val="20"/>
          <w:szCs w:val="20"/>
          <w:bdr w:val="nil"/>
        </w:rPr>
      </w:pPr>
      <w:r w:rsidRPr="004C2033">
        <w:rPr>
          <w:b w:val="0"/>
          <w:kern w:val="20"/>
          <w:szCs w:val="20"/>
          <w:u w:val="single"/>
          <w:bdr w:val="nil"/>
        </w:rPr>
        <w:t>Valor justo por meio de outros resultados abrangentes</w:t>
      </w:r>
      <w:r w:rsidRPr="00A75DBB">
        <w:rPr>
          <w:b w:val="0"/>
          <w:kern w:val="20"/>
          <w:szCs w:val="20"/>
          <w:bdr w:val="nil"/>
        </w:rPr>
        <w:t>: são ativos financeiros geridos dentro de modelo de negócios cujo objetivo seja gerar retorno tanto pelo recebimento dos fluxos de caixa contratuais quanto pela negociação com transferência substancial de riscos e benefícios.</w:t>
      </w:r>
    </w:p>
    <w:p w:rsidR="00CF3640" w:rsidRDefault="00A82039" w:rsidP="00CF3640">
      <w:pPr>
        <w:pStyle w:val="01-Textonormal"/>
        <w:pBdr>
          <w:top w:val="nil"/>
          <w:left w:val="nil"/>
          <w:bottom w:val="nil"/>
          <w:right w:val="nil"/>
          <w:between w:val="nil"/>
          <w:bar w:val="nil"/>
        </w:pBdr>
        <w:rPr>
          <w:bdr w:val="nil"/>
        </w:rPr>
      </w:pPr>
      <w:r>
        <w:rPr>
          <w:bdr w:val="nil"/>
        </w:rPr>
        <w:t>A Ativos S.A. não possui ativos financeiros mensurados nessa categoria.</w:t>
      </w:r>
    </w:p>
    <w:p w:rsidR="00A75DBB" w:rsidRDefault="00A82039" w:rsidP="00A75DBB">
      <w:pPr>
        <w:pStyle w:val="03-SubttulodeNota"/>
        <w:numPr>
          <w:ilvl w:val="0"/>
          <w:numId w:val="0"/>
        </w:numPr>
        <w:pBdr>
          <w:top w:val="nil"/>
          <w:left w:val="nil"/>
          <w:bottom w:val="nil"/>
          <w:right w:val="nil"/>
          <w:between w:val="nil"/>
          <w:bar w:val="nil"/>
        </w:pBdr>
        <w:rPr>
          <w:b w:val="0"/>
          <w:kern w:val="20"/>
          <w:szCs w:val="20"/>
          <w:bdr w:val="nil"/>
        </w:rPr>
      </w:pPr>
      <w:r w:rsidRPr="004C2033">
        <w:rPr>
          <w:b w:val="0"/>
          <w:kern w:val="20"/>
          <w:szCs w:val="20"/>
          <w:u w:val="single"/>
          <w:bdr w:val="nil"/>
        </w:rPr>
        <w:t>Valor justo por meio do resultado</w:t>
      </w:r>
      <w:r w:rsidRPr="00A75DBB">
        <w:rPr>
          <w:b w:val="0"/>
          <w:kern w:val="20"/>
          <w:szCs w:val="20"/>
          <w:bdr w:val="nil"/>
        </w:rPr>
        <w:t>: são ativos financeiros que não se enquadrem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rsidR="00CF3640" w:rsidRDefault="00A82039" w:rsidP="00CF3640">
      <w:pPr>
        <w:pStyle w:val="01-Textonormal"/>
        <w:pBdr>
          <w:top w:val="nil"/>
          <w:left w:val="nil"/>
          <w:bottom w:val="nil"/>
          <w:right w:val="nil"/>
          <w:between w:val="nil"/>
          <w:bar w:val="nil"/>
        </w:pBdr>
        <w:rPr>
          <w:bdr w:val="nil"/>
        </w:rPr>
      </w:pPr>
      <w:r>
        <w:rPr>
          <w:bdr w:val="nil"/>
        </w:rPr>
        <w:t>Os ativos financeiros da Ativos S.A. enquadrados nessa categoria são: “Caixa e equivalentes de caixa” e as aplicações financeiras em “Fundos de investimento”.</w:t>
      </w:r>
    </w:p>
    <w:p w:rsidR="003D251E" w:rsidRPr="00A869EF" w:rsidRDefault="00A82039" w:rsidP="00A75DBB">
      <w:pPr>
        <w:pStyle w:val="03-SubttulodeNota"/>
        <w:pBdr>
          <w:top w:val="nil"/>
          <w:left w:val="nil"/>
          <w:bottom w:val="nil"/>
          <w:right w:val="nil"/>
          <w:between w:val="nil"/>
          <w:bar w:val="nil"/>
        </w:pBdr>
        <w:rPr>
          <w:sz w:val="20"/>
          <w:bdr w:val="nil"/>
        </w:rPr>
      </w:pPr>
      <w:r>
        <w:rPr>
          <w:bdr w:val="nil"/>
        </w:rPr>
        <w:t>Tributos</w:t>
      </w:r>
    </w:p>
    <w:p w:rsidR="003D251E" w:rsidRDefault="00A82039" w:rsidP="002C7B22">
      <w:pPr>
        <w:pStyle w:val="01-Textonormal"/>
        <w:keepNext/>
        <w:pBdr>
          <w:top w:val="nil"/>
          <w:left w:val="nil"/>
          <w:bottom w:val="nil"/>
          <w:right w:val="nil"/>
          <w:between w:val="nil"/>
          <w:bar w:val="nil"/>
        </w:pBdr>
        <w:rPr>
          <w:bdr w:val="nil"/>
        </w:rPr>
      </w:pPr>
      <w:r>
        <w:rPr>
          <w:bdr w:val="nil"/>
        </w:rPr>
        <w:t>Os tributos são apurados sob o regime do Lucro Real, com base nas alíquotas demonstradas no quadro a seguir:</w:t>
      </w:r>
    </w:p>
    <w:tbl>
      <w:tblPr>
        <w:tblW w:w="5000" w:type="pct"/>
        <w:tblInd w:w="30" w:type="dxa"/>
        <w:tblBorders>
          <w:bottom w:val="single" w:sz="2" w:space="0" w:color="C0C0C0"/>
        </w:tblBorders>
        <w:tblLayout w:type="fixed"/>
        <w:tblCellMar>
          <w:left w:w="30" w:type="dxa"/>
          <w:right w:w="30" w:type="dxa"/>
        </w:tblCellMar>
        <w:tblLook w:val="04A0" w:firstRow="1" w:lastRow="0" w:firstColumn="1" w:lastColumn="0" w:noHBand="0" w:noVBand="1"/>
      </w:tblPr>
      <w:tblGrid>
        <w:gridCol w:w="7009"/>
        <w:gridCol w:w="1752"/>
        <w:gridCol w:w="877"/>
      </w:tblGrid>
      <w:tr w:rsidR="00566CE2" w:rsidTr="00E16BDA">
        <w:trPr>
          <w:cantSplit/>
          <w:trHeight w:val="292"/>
        </w:trPr>
        <w:tc>
          <w:tcPr>
            <w:tcW w:w="6804" w:type="dxa"/>
            <w:tcBorders>
              <w:top w:val="single" w:sz="8" w:space="0" w:color="auto"/>
              <w:left w:val="nil"/>
              <w:bottom w:val="single" w:sz="8" w:space="0" w:color="auto"/>
              <w:right w:val="nil"/>
            </w:tcBorders>
            <w:shd w:val="clear" w:color="auto" w:fill="auto"/>
            <w:vAlign w:val="center"/>
            <w:hideMark/>
          </w:tcPr>
          <w:p w:rsidR="003D251E" w:rsidRPr="00090AE1" w:rsidRDefault="00A82039" w:rsidP="00090AE1">
            <w:pPr>
              <w:pStyle w:val="08-Tabelageral"/>
              <w:pBdr>
                <w:top w:val="nil"/>
                <w:left w:val="nil"/>
                <w:bottom w:val="nil"/>
                <w:right w:val="nil"/>
                <w:between w:val="nil"/>
                <w:bar w:val="nil"/>
              </w:pBdr>
              <w:jc w:val="left"/>
              <w:rPr>
                <w:b/>
                <w:snapToGrid w:val="0"/>
                <w:bdr w:val="nil"/>
              </w:rPr>
            </w:pPr>
            <w:r w:rsidRPr="00090AE1">
              <w:rPr>
                <w:b/>
                <w:snapToGrid w:val="0"/>
                <w:bdr w:val="nil"/>
              </w:rPr>
              <w:t>Tributos</w:t>
            </w:r>
          </w:p>
        </w:tc>
        <w:tc>
          <w:tcPr>
            <w:tcW w:w="1701" w:type="dxa"/>
            <w:tcBorders>
              <w:top w:val="single" w:sz="8" w:space="0" w:color="auto"/>
              <w:left w:val="nil"/>
              <w:bottom w:val="single" w:sz="8" w:space="0" w:color="auto"/>
              <w:right w:val="nil"/>
            </w:tcBorders>
            <w:shd w:val="clear" w:color="auto" w:fill="auto"/>
            <w:vAlign w:val="center"/>
          </w:tcPr>
          <w:p w:rsidR="003D251E" w:rsidRPr="00090AE1" w:rsidRDefault="003D251E" w:rsidP="00090AE1">
            <w:pPr>
              <w:pStyle w:val="08-Tabelageral"/>
              <w:rPr>
                <w:b/>
                <w:snapToGrid w:val="0"/>
                <w:bdr w:val="nil"/>
              </w:rPr>
            </w:pPr>
          </w:p>
        </w:tc>
        <w:tc>
          <w:tcPr>
            <w:tcW w:w="851" w:type="dxa"/>
            <w:tcBorders>
              <w:top w:val="single" w:sz="8" w:space="0" w:color="auto"/>
              <w:left w:val="nil"/>
              <w:bottom w:val="single" w:sz="8" w:space="0" w:color="auto"/>
              <w:right w:val="nil"/>
            </w:tcBorders>
            <w:shd w:val="clear" w:color="auto" w:fill="auto"/>
            <w:vAlign w:val="center"/>
            <w:hideMark/>
          </w:tcPr>
          <w:p w:rsidR="003D251E" w:rsidRPr="00090AE1" w:rsidRDefault="00A82039" w:rsidP="00090AE1">
            <w:pPr>
              <w:pStyle w:val="08-Tabelageral"/>
              <w:pBdr>
                <w:top w:val="nil"/>
                <w:left w:val="nil"/>
                <w:bottom w:val="nil"/>
                <w:right w:val="nil"/>
                <w:between w:val="nil"/>
                <w:bar w:val="nil"/>
              </w:pBdr>
              <w:rPr>
                <w:b/>
                <w:snapToGrid w:val="0"/>
                <w:bdr w:val="nil"/>
              </w:rPr>
            </w:pPr>
            <w:r w:rsidRPr="00090AE1">
              <w:rPr>
                <w:b/>
                <w:snapToGrid w:val="0"/>
                <w:bdr w:val="nil"/>
              </w:rPr>
              <w:t>Alíquota</w:t>
            </w:r>
          </w:p>
        </w:tc>
      </w:tr>
      <w:tr w:rsidR="00566CE2" w:rsidTr="00E16BDA">
        <w:trPr>
          <w:cantSplit/>
          <w:trHeight w:val="292"/>
        </w:trPr>
        <w:tc>
          <w:tcPr>
            <w:tcW w:w="6804" w:type="dxa"/>
            <w:tcBorders>
              <w:top w:val="single" w:sz="8" w:space="0" w:color="auto"/>
              <w:left w:val="nil"/>
              <w:bottom w:val="nil"/>
              <w:right w:val="nil"/>
            </w:tcBorders>
            <w:shd w:val="clear" w:color="auto" w:fill="auto"/>
            <w:vAlign w:val="center"/>
            <w:hideMark/>
          </w:tcPr>
          <w:p w:rsidR="003D251E" w:rsidRPr="00BB2EB5" w:rsidRDefault="00A82039" w:rsidP="00090AE1">
            <w:pPr>
              <w:pStyle w:val="08-Tabelageral"/>
              <w:pBdr>
                <w:top w:val="nil"/>
                <w:left w:val="nil"/>
                <w:bottom w:val="nil"/>
                <w:right w:val="nil"/>
                <w:between w:val="nil"/>
                <w:bar w:val="nil"/>
              </w:pBdr>
              <w:jc w:val="left"/>
              <w:rPr>
                <w:snapToGrid w:val="0"/>
                <w:bdr w:val="nil"/>
              </w:rPr>
            </w:pPr>
            <w:r w:rsidRPr="00BB2EB5">
              <w:rPr>
                <w:bdr w:val="nil"/>
              </w:rPr>
              <w:t>Imposto de Renda – IR (15% + adicional de 10%)</w:t>
            </w:r>
          </w:p>
        </w:tc>
        <w:tc>
          <w:tcPr>
            <w:tcW w:w="1701" w:type="dxa"/>
            <w:tcBorders>
              <w:top w:val="single" w:sz="8" w:space="0" w:color="auto"/>
              <w:left w:val="nil"/>
              <w:bottom w:val="nil"/>
              <w:right w:val="nil"/>
            </w:tcBorders>
            <w:shd w:val="clear" w:color="auto" w:fill="auto"/>
            <w:vAlign w:val="center"/>
          </w:tcPr>
          <w:p w:rsidR="003D251E" w:rsidRPr="00BB2EB5" w:rsidRDefault="003D251E" w:rsidP="00090AE1">
            <w:pPr>
              <w:pStyle w:val="08-Tabelageral"/>
              <w:rPr>
                <w:snapToGrid w:val="0"/>
                <w:bdr w:val="nil"/>
              </w:rPr>
            </w:pPr>
          </w:p>
        </w:tc>
        <w:tc>
          <w:tcPr>
            <w:tcW w:w="851" w:type="dxa"/>
            <w:tcBorders>
              <w:top w:val="single" w:sz="8" w:space="0" w:color="auto"/>
              <w:left w:val="nil"/>
              <w:bottom w:val="nil"/>
              <w:right w:val="nil"/>
            </w:tcBorders>
            <w:shd w:val="clear" w:color="auto" w:fill="auto"/>
            <w:vAlign w:val="center"/>
            <w:hideMark/>
          </w:tcPr>
          <w:p w:rsidR="003D251E" w:rsidRPr="00BB2EB5" w:rsidRDefault="00A82039" w:rsidP="00090AE1">
            <w:pPr>
              <w:pStyle w:val="08-Tabelageral"/>
              <w:pBdr>
                <w:top w:val="nil"/>
                <w:left w:val="nil"/>
                <w:bottom w:val="nil"/>
                <w:right w:val="nil"/>
                <w:between w:val="nil"/>
                <w:bar w:val="nil"/>
              </w:pBdr>
              <w:rPr>
                <w:snapToGrid w:val="0"/>
                <w:bdr w:val="nil"/>
              </w:rPr>
            </w:pPr>
            <w:r w:rsidRPr="00BB2EB5">
              <w:rPr>
                <w:snapToGrid w:val="0"/>
                <w:bdr w:val="nil"/>
              </w:rPr>
              <w:t>25%</w:t>
            </w:r>
          </w:p>
        </w:tc>
      </w:tr>
      <w:tr w:rsidR="00566CE2" w:rsidTr="00E16BDA">
        <w:trPr>
          <w:cantSplit/>
          <w:trHeight w:val="292"/>
        </w:trPr>
        <w:tc>
          <w:tcPr>
            <w:tcW w:w="6804" w:type="dxa"/>
            <w:tcBorders>
              <w:top w:val="nil"/>
              <w:left w:val="nil"/>
              <w:bottom w:val="nil"/>
              <w:right w:val="nil"/>
            </w:tcBorders>
            <w:shd w:val="clear" w:color="auto" w:fill="auto"/>
            <w:vAlign w:val="center"/>
            <w:hideMark/>
          </w:tcPr>
          <w:p w:rsidR="003D251E" w:rsidRPr="00BB2EB5" w:rsidRDefault="00A82039" w:rsidP="00090AE1">
            <w:pPr>
              <w:pStyle w:val="08-Tabelageral"/>
              <w:pBdr>
                <w:top w:val="nil"/>
                <w:left w:val="nil"/>
                <w:bottom w:val="nil"/>
                <w:right w:val="nil"/>
                <w:between w:val="nil"/>
                <w:bar w:val="nil"/>
              </w:pBdr>
              <w:jc w:val="left"/>
              <w:rPr>
                <w:snapToGrid w:val="0"/>
                <w:bdr w:val="nil"/>
              </w:rPr>
            </w:pPr>
            <w:r w:rsidRPr="00BB2EB5">
              <w:rPr>
                <w:snapToGrid w:val="0"/>
                <w:bdr w:val="nil"/>
              </w:rPr>
              <w:t>Contribuição Social sobre o Lucro Líquido – CSLL</w:t>
            </w:r>
          </w:p>
        </w:tc>
        <w:tc>
          <w:tcPr>
            <w:tcW w:w="1701" w:type="dxa"/>
            <w:tcBorders>
              <w:top w:val="nil"/>
              <w:left w:val="nil"/>
              <w:bottom w:val="nil"/>
              <w:right w:val="nil"/>
            </w:tcBorders>
            <w:shd w:val="clear" w:color="auto" w:fill="auto"/>
            <w:vAlign w:val="center"/>
          </w:tcPr>
          <w:p w:rsidR="003D251E" w:rsidRPr="00BB2EB5" w:rsidRDefault="003D251E" w:rsidP="00090AE1">
            <w:pPr>
              <w:pStyle w:val="08-Tabelageral"/>
              <w:rPr>
                <w:snapToGrid w:val="0"/>
                <w:u w:val="single"/>
                <w:bdr w:val="nil"/>
              </w:rPr>
            </w:pPr>
          </w:p>
        </w:tc>
        <w:tc>
          <w:tcPr>
            <w:tcW w:w="851" w:type="dxa"/>
            <w:tcBorders>
              <w:top w:val="nil"/>
              <w:left w:val="nil"/>
              <w:bottom w:val="nil"/>
              <w:right w:val="nil"/>
            </w:tcBorders>
            <w:shd w:val="clear" w:color="auto" w:fill="auto"/>
            <w:vAlign w:val="center"/>
            <w:hideMark/>
          </w:tcPr>
          <w:p w:rsidR="003D251E" w:rsidRPr="00BB2EB5" w:rsidRDefault="00A82039" w:rsidP="00090AE1">
            <w:pPr>
              <w:pStyle w:val="08-Tabelageral"/>
              <w:pBdr>
                <w:top w:val="nil"/>
                <w:left w:val="nil"/>
                <w:bottom w:val="nil"/>
                <w:right w:val="nil"/>
                <w:between w:val="nil"/>
                <w:bar w:val="nil"/>
              </w:pBdr>
              <w:rPr>
                <w:snapToGrid w:val="0"/>
                <w:bdr w:val="nil"/>
              </w:rPr>
            </w:pPr>
            <w:r w:rsidRPr="00BB2EB5">
              <w:rPr>
                <w:snapToGrid w:val="0"/>
                <w:bdr w:val="nil"/>
              </w:rPr>
              <w:t>9%</w:t>
            </w:r>
          </w:p>
        </w:tc>
      </w:tr>
      <w:tr w:rsidR="00566CE2" w:rsidTr="00E16BDA">
        <w:trPr>
          <w:cantSplit/>
          <w:trHeight w:val="292"/>
        </w:trPr>
        <w:tc>
          <w:tcPr>
            <w:tcW w:w="6804" w:type="dxa"/>
            <w:tcBorders>
              <w:top w:val="nil"/>
              <w:left w:val="nil"/>
              <w:bottom w:val="nil"/>
              <w:right w:val="nil"/>
            </w:tcBorders>
            <w:shd w:val="clear" w:color="auto" w:fill="auto"/>
            <w:vAlign w:val="center"/>
            <w:hideMark/>
          </w:tcPr>
          <w:p w:rsidR="003D251E" w:rsidRPr="00BB2EB5" w:rsidRDefault="00A82039" w:rsidP="00090AE1">
            <w:pPr>
              <w:pStyle w:val="08-Tabelageral"/>
              <w:pBdr>
                <w:top w:val="nil"/>
                <w:left w:val="nil"/>
                <w:bottom w:val="nil"/>
                <w:right w:val="nil"/>
                <w:between w:val="nil"/>
                <w:bar w:val="nil"/>
              </w:pBdr>
              <w:jc w:val="left"/>
              <w:rPr>
                <w:snapToGrid w:val="0"/>
                <w:bdr w:val="nil"/>
              </w:rPr>
            </w:pPr>
            <w:r w:rsidRPr="00BB2EB5">
              <w:rPr>
                <w:snapToGrid w:val="0"/>
                <w:bdr w:val="nil"/>
              </w:rPr>
              <w:t>PIS/Pasep</w:t>
            </w:r>
          </w:p>
        </w:tc>
        <w:tc>
          <w:tcPr>
            <w:tcW w:w="1701" w:type="dxa"/>
            <w:tcBorders>
              <w:top w:val="nil"/>
              <w:left w:val="nil"/>
              <w:bottom w:val="nil"/>
              <w:right w:val="nil"/>
            </w:tcBorders>
            <w:shd w:val="clear" w:color="auto" w:fill="auto"/>
            <w:vAlign w:val="center"/>
          </w:tcPr>
          <w:p w:rsidR="003D251E" w:rsidRPr="00BB2EB5" w:rsidRDefault="003D251E" w:rsidP="00090AE1">
            <w:pPr>
              <w:pStyle w:val="08-Tabelageral"/>
              <w:rPr>
                <w:snapToGrid w:val="0"/>
                <w:u w:val="double"/>
                <w:bdr w:val="nil"/>
              </w:rPr>
            </w:pPr>
          </w:p>
        </w:tc>
        <w:tc>
          <w:tcPr>
            <w:tcW w:w="851" w:type="dxa"/>
            <w:tcBorders>
              <w:top w:val="nil"/>
              <w:left w:val="nil"/>
              <w:bottom w:val="nil"/>
              <w:right w:val="nil"/>
            </w:tcBorders>
            <w:shd w:val="clear" w:color="auto" w:fill="auto"/>
            <w:vAlign w:val="center"/>
            <w:hideMark/>
          </w:tcPr>
          <w:p w:rsidR="003D251E" w:rsidRPr="00BB2EB5" w:rsidRDefault="00A82039" w:rsidP="00090AE1">
            <w:pPr>
              <w:pStyle w:val="08-Tabelageral"/>
              <w:pBdr>
                <w:top w:val="nil"/>
                <w:left w:val="nil"/>
                <w:bottom w:val="nil"/>
                <w:right w:val="nil"/>
                <w:between w:val="nil"/>
                <w:bar w:val="nil"/>
              </w:pBdr>
              <w:rPr>
                <w:snapToGrid w:val="0"/>
                <w:bdr w:val="nil"/>
              </w:rPr>
            </w:pPr>
            <w:r w:rsidRPr="00BB2EB5">
              <w:rPr>
                <w:snapToGrid w:val="0"/>
                <w:bdr w:val="nil"/>
              </w:rPr>
              <w:t>0,65%</w:t>
            </w:r>
          </w:p>
        </w:tc>
      </w:tr>
      <w:tr w:rsidR="00566CE2" w:rsidTr="00E16BDA">
        <w:trPr>
          <w:cantSplit/>
          <w:trHeight w:val="292"/>
        </w:trPr>
        <w:tc>
          <w:tcPr>
            <w:tcW w:w="6804" w:type="dxa"/>
            <w:tcBorders>
              <w:top w:val="nil"/>
              <w:left w:val="nil"/>
              <w:bottom w:val="nil"/>
              <w:right w:val="nil"/>
            </w:tcBorders>
            <w:shd w:val="clear" w:color="auto" w:fill="auto"/>
            <w:vAlign w:val="center"/>
            <w:hideMark/>
          </w:tcPr>
          <w:p w:rsidR="003D251E" w:rsidRPr="00BB2EB5" w:rsidRDefault="00A82039" w:rsidP="00090AE1">
            <w:pPr>
              <w:pStyle w:val="08-Tabelageral"/>
              <w:pBdr>
                <w:top w:val="nil"/>
                <w:left w:val="nil"/>
                <w:bottom w:val="nil"/>
                <w:right w:val="nil"/>
                <w:between w:val="nil"/>
                <w:bar w:val="nil"/>
              </w:pBdr>
              <w:jc w:val="left"/>
              <w:rPr>
                <w:bdr w:val="nil"/>
              </w:rPr>
            </w:pPr>
            <w:r w:rsidRPr="00BB2EB5">
              <w:rPr>
                <w:bdr w:val="nil"/>
              </w:rPr>
              <w:t>Contribuição para o Financiamento da Seguridade Social – Cofins</w:t>
            </w:r>
          </w:p>
        </w:tc>
        <w:tc>
          <w:tcPr>
            <w:tcW w:w="1701" w:type="dxa"/>
            <w:tcBorders>
              <w:top w:val="nil"/>
              <w:left w:val="nil"/>
              <w:bottom w:val="nil"/>
              <w:right w:val="nil"/>
            </w:tcBorders>
            <w:shd w:val="clear" w:color="auto" w:fill="auto"/>
            <w:vAlign w:val="center"/>
          </w:tcPr>
          <w:p w:rsidR="003D251E" w:rsidRPr="00BB2EB5" w:rsidRDefault="003D251E" w:rsidP="00090AE1">
            <w:pPr>
              <w:pStyle w:val="08-Tabelageral"/>
              <w:rPr>
                <w:snapToGrid w:val="0"/>
                <w:bdr w:val="nil"/>
              </w:rPr>
            </w:pPr>
          </w:p>
        </w:tc>
        <w:tc>
          <w:tcPr>
            <w:tcW w:w="851" w:type="dxa"/>
            <w:tcBorders>
              <w:top w:val="nil"/>
              <w:left w:val="nil"/>
              <w:bottom w:val="nil"/>
              <w:right w:val="nil"/>
            </w:tcBorders>
            <w:shd w:val="clear" w:color="auto" w:fill="auto"/>
            <w:vAlign w:val="center"/>
            <w:hideMark/>
          </w:tcPr>
          <w:p w:rsidR="003D251E" w:rsidRPr="00BB2EB5" w:rsidRDefault="00A82039" w:rsidP="00090AE1">
            <w:pPr>
              <w:pStyle w:val="08-Tabelageral"/>
              <w:pBdr>
                <w:top w:val="nil"/>
                <w:left w:val="nil"/>
                <w:bottom w:val="nil"/>
                <w:right w:val="nil"/>
                <w:between w:val="nil"/>
                <w:bar w:val="nil"/>
              </w:pBdr>
              <w:rPr>
                <w:snapToGrid w:val="0"/>
                <w:bdr w:val="nil"/>
              </w:rPr>
            </w:pPr>
            <w:r w:rsidRPr="00BB2EB5">
              <w:rPr>
                <w:snapToGrid w:val="0"/>
                <w:bdr w:val="nil"/>
              </w:rPr>
              <w:t>4%</w:t>
            </w:r>
          </w:p>
        </w:tc>
      </w:tr>
      <w:tr w:rsidR="00566CE2" w:rsidTr="00E16BDA">
        <w:trPr>
          <w:cantSplit/>
          <w:trHeight w:val="74"/>
        </w:trPr>
        <w:tc>
          <w:tcPr>
            <w:tcW w:w="6804" w:type="dxa"/>
            <w:tcBorders>
              <w:top w:val="nil"/>
              <w:left w:val="nil"/>
              <w:bottom w:val="single" w:sz="8" w:space="0" w:color="auto"/>
              <w:right w:val="nil"/>
            </w:tcBorders>
            <w:shd w:val="clear" w:color="auto" w:fill="auto"/>
            <w:vAlign w:val="center"/>
            <w:hideMark/>
          </w:tcPr>
          <w:p w:rsidR="003D251E" w:rsidRPr="00BB2EB5" w:rsidRDefault="00A82039" w:rsidP="00090AE1">
            <w:pPr>
              <w:pStyle w:val="08-Tabelageral"/>
              <w:pBdr>
                <w:top w:val="nil"/>
                <w:left w:val="nil"/>
                <w:bottom w:val="nil"/>
                <w:right w:val="nil"/>
                <w:between w:val="nil"/>
                <w:bar w:val="nil"/>
              </w:pBdr>
              <w:jc w:val="left"/>
              <w:rPr>
                <w:bdr w:val="nil"/>
              </w:rPr>
            </w:pPr>
            <w:r w:rsidRPr="00BB2EB5">
              <w:rPr>
                <w:bdr w:val="nil"/>
              </w:rPr>
              <w:t>Imposto sobre Serviços de Qualquer Natureza – ISSQN</w:t>
            </w:r>
          </w:p>
        </w:tc>
        <w:tc>
          <w:tcPr>
            <w:tcW w:w="1701" w:type="dxa"/>
            <w:tcBorders>
              <w:top w:val="nil"/>
              <w:left w:val="nil"/>
              <w:bottom w:val="single" w:sz="8" w:space="0" w:color="auto"/>
              <w:right w:val="nil"/>
            </w:tcBorders>
            <w:shd w:val="clear" w:color="auto" w:fill="auto"/>
            <w:vAlign w:val="center"/>
          </w:tcPr>
          <w:p w:rsidR="003D251E" w:rsidRPr="00BB2EB5" w:rsidRDefault="003D251E" w:rsidP="00090AE1">
            <w:pPr>
              <w:pStyle w:val="08-Tabelageral"/>
              <w:rPr>
                <w:snapToGrid w:val="0"/>
                <w:bdr w:val="nil"/>
              </w:rPr>
            </w:pPr>
          </w:p>
        </w:tc>
        <w:tc>
          <w:tcPr>
            <w:tcW w:w="851" w:type="dxa"/>
            <w:tcBorders>
              <w:top w:val="nil"/>
              <w:left w:val="nil"/>
              <w:bottom w:val="single" w:sz="8" w:space="0" w:color="auto"/>
              <w:right w:val="nil"/>
            </w:tcBorders>
            <w:shd w:val="clear" w:color="auto" w:fill="auto"/>
            <w:vAlign w:val="center"/>
            <w:hideMark/>
          </w:tcPr>
          <w:p w:rsidR="003D251E" w:rsidRPr="00BB2EB5" w:rsidRDefault="00A82039" w:rsidP="00090AE1">
            <w:pPr>
              <w:pStyle w:val="08-Tabelageral"/>
              <w:pBdr>
                <w:top w:val="nil"/>
                <w:left w:val="nil"/>
                <w:bottom w:val="nil"/>
                <w:right w:val="nil"/>
                <w:between w:val="nil"/>
                <w:bar w:val="nil"/>
              </w:pBdr>
              <w:rPr>
                <w:snapToGrid w:val="0"/>
                <w:bdr w:val="nil"/>
              </w:rPr>
            </w:pPr>
            <w:r w:rsidRPr="00BB2EB5">
              <w:rPr>
                <w:snapToGrid w:val="0"/>
                <w:bdr w:val="nil"/>
              </w:rPr>
              <w:t>Até 5%</w:t>
            </w:r>
          </w:p>
        </w:tc>
      </w:tr>
    </w:tbl>
    <w:p w:rsidR="00144389" w:rsidRPr="00BB2C43" w:rsidRDefault="00144389" w:rsidP="00090AE1">
      <w:pPr>
        <w:pStyle w:val="07-Legenda"/>
        <w:pBdr>
          <w:top w:val="nil"/>
          <w:left w:val="nil"/>
          <w:bottom w:val="nil"/>
          <w:right w:val="nil"/>
          <w:between w:val="nil"/>
          <w:bar w:val="nil"/>
        </w:pBdr>
        <w:rPr>
          <w:bdr w:val="nil"/>
        </w:rPr>
      </w:pPr>
    </w:p>
    <w:p w:rsidR="009743D9" w:rsidRDefault="00A82039" w:rsidP="009743D9">
      <w:pPr>
        <w:pStyle w:val="01-Textonormal"/>
        <w:pBdr>
          <w:top w:val="nil"/>
          <w:left w:val="nil"/>
          <w:bottom w:val="nil"/>
          <w:right w:val="nil"/>
          <w:between w:val="nil"/>
          <w:bar w:val="nil"/>
        </w:pBdr>
        <w:rPr>
          <w:bdr w:val="nil"/>
        </w:rPr>
      </w:pPr>
      <w:r w:rsidRPr="00BB2C43">
        <w:rPr>
          <w:bdr w:val="nil"/>
        </w:rPr>
        <w:t>Os ativos fiscais diferidos (</w:t>
      </w:r>
      <w:r w:rsidRPr="00496F13">
        <w:rPr>
          <w:bdr w:val="nil"/>
        </w:rPr>
        <w:t>Créditos Tributários – Nota 1</w:t>
      </w:r>
      <w:r>
        <w:rPr>
          <w:bdr w:val="nil"/>
        </w:rPr>
        <w:t>6</w:t>
      </w:r>
      <w:r w:rsidRPr="00496F13">
        <w:rPr>
          <w:bdr w:val="nil"/>
        </w:rPr>
        <w:t xml:space="preserve">.d) </w:t>
      </w:r>
      <w:r>
        <w:rPr>
          <w:bdr w:val="nil"/>
        </w:rPr>
        <w:t>são constituídos pela aplicação das alíquotas que se espera que sejam aplicáveis no período quando for realizado o ativo do crédito tributário, com base nas alíquotas (e legislação fiscal) que estejam em vigor ao final do período que está sendo reportado.</w:t>
      </w:r>
    </w:p>
    <w:p w:rsidR="003D251E" w:rsidRPr="00BB2C43" w:rsidRDefault="00A82039" w:rsidP="009743D9">
      <w:pPr>
        <w:pStyle w:val="01-Textonormal"/>
        <w:pBdr>
          <w:top w:val="nil"/>
          <w:left w:val="nil"/>
          <w:bottom w:val="nil"/>
          <w:right w:val="nil"/>
          <w:between w:val="nil"/>
          <w:bar w:val="nil"/>
        </w:pBdr>
        <w:spacing w:before="0"/>
        <w:rPr>
          <w:bdr w:val="nil"/>
        </w:rPr>
      </w:pPr>
      <w:r>
        <w:rPr>
          <w:bdr w:val="nil"/>
        </w:rPr>
        <w:t>Para constituição, manutenção e baixa dos ativos fiscais diferidos são observados os critérios aprovados pelo CPC 32 (R4) – Tributos sobre o Lucro, e estão suportados por estudo de capacidade de realização.</w:t>
      </w:r>
    </w:p>
    <w:p w:rsidR="003D251E" w:rsidRPr="00A869EF" w:rsidRDefault="00A82039" w:rsidP="00A869EF">
      <w:pPr>
        <w:pStyle w:val="03-SubttulodeNota"/>
        <w:pBdr>
          <w:top w:val="nil"/>
          <w:left w:val="nil"/>
          <w:bottom w:val="nil"/>
          <w:right w:val="nil"/>
          <w:between w:val="nil"/>
          <w:bar w:val="nil"/>
        </w:pBdr>
        <w:rPr>
          <w:sz w:val="20"/>
          <w:bdr w:val="nil"/>
        </w:rPr>
      </w:pPr>
      <w:r>
        <w:rPr>
          <w:bdr w:val="nil"/>
        </w:rPr>
        <w:t>Investimentos</w:t>
      </w:r>
    </w:p>
    <w:p w:rsidR="003D251E" w:rsidRDefault="00A82039" w:rsidP="00090AE1">
      <w:pPr>
        <w:pStyle w:val="01-Textonormal"/>
        <w:pBdr>
          <w:top w:val="nil"/>
          <w:left w:val="nil"/>
          <w:bottom w:val="nil"/>
          <w:right w:val="nil"/>
          <w:between w:val="nil"/>
          <w:bar w:val="nil"/>
        </w:pBdr>
        <w:rPr>
          <w:bdr w:val="nil"/>
        </w:rPr>
      </w:pPr>
      <w:r>
        <w:rPr>
          <w:bdr w:val="nil"/>
        </w:rPr>
        <w:t>Os investimentos em controladas e coligadas com influência significativa ou com participação de 20% ou mais no capital votante e em demais sociedades que fazem parte de um mesmo grupo ou que estejam sob controle comum são avaliados por equivalência patrimonial com base no valor do patrimônio líquido da controlada ou coligada, em conformidade com as instruções e normas do Conselho Federal de Contabilidade.</w:t>
      </w:r>
    </w:p>
    <w:p w:rsidR="003D251E" w:rsidRPr="00A869EF" w:rsidRDefault="00A82039" w:rsidP="00A869EF">
      <w:pPr>
        <w:pStyle w:val="03-SubttulodeNota"/>
        <w:pBdr>
          <w:top w:val="nil"/>
          <w:left w:val="nil"/>
          <w:bottom w:val="nil"/>
          <w:right w:val="nil"/>
          <w:between w:val="nil"/>
          <w:bar w:val="nil"/>
        </w:pBdr>
        <w:rPr>
          <w:sz w:val="20"/>
          <w:bdr w:val="nil"/>
        </w:rPr>
      </w:pPr>
      <w:r>
        <w:rPr>
          <w:bdr w:val="nil"/>
        </w:rPr>
        <w:t>Ativo Imobilizado</w:t>
      </w:r>
    </w:p>
    <w:p w:rsidR="003D251E" w:rsidRDefault="00A82039" w:rsidP="00090AE1">
      <w:pPr>
        <w:pStyle w:val="01-Textonormal"/>
        <w:pBdr>
          <w:top w:val="nil"/>
          <w:left w:val="nil"/>
          <w:bottom w:val="nil"/>
          <w:right w:val="nil"/>
          <w:between w:val="nil"/>
          <w:bar w:val="nil"/>
        </w:pBdr>
        <w:rPr>
          <w:bdr w:val="nil"/>
        </w:rPr>
      </w:pPr>
      <w:r>
        <w:rPr>
          <w:bdr w:val="nil"/>
        </w:rPr>
        <w:t>O Ativo Imobilizado é avaliado pelo custo de aquisição, deduzido da respectiva conta de depreciação acumulada</w:t>
      </w:r>
      <w:r w:rsidRPr="004C2033">
        <w:rPr>
          <w:bdr w:val="nil"/>
        </w:rPr>
        <w:t xml:space="preserve"> </w:t>
      </w:r>
      <w:r>
        <w:rPr>
          <w:bdr w:val="nil"/>
        </w:rPr>
        <w:t xml:space="preserve">e </w:t>
      </w:r>
      <w:r w:rsidRPr="00C4388A">
        <w:rPr>
          <w:bdr w:val="nil"/>
        </w:rPr>
        <w:t>das perdas por redução ao valor recuperável</w:t>
      </w:r>
      <w:r>
        <w:rPr>
          <w:bdr w:val="nil"/>
        </w:rPr>
        <w:t xml:space="preserve">. As depreciações são calculadas pelo método linear, com base em taxas que levam em consideração a vida útil estimada dos bens e reconhecidas no resultado do período </w:t>
      </w:r>
      <w:r w:rsidRPr="00496F13">
        <w:rPr>
          <w:bdr w:val="nil"/>
        </w:rPr>
        <w:t>(Nota 9).</w:t>
      </w:r>
    </w:p>
    <w:p w:rsidR="00C4388A" w:rsidRPr="00A869EF" w:rsidRDefault="00A82039" w:rsidP="00A869EF">
      <w:pPr>
        <w:pStyle w:val="03-SubttulodeNota"/>
        <w:pBdr>
          <w:top w:val="nil"/>
          <w:left w:val="nil"/>
          <w:bottom w:val="nil"/>
          <w:right w:val="nil"/>
          <w:between w:val="nil"/>
          <w:bar w:val="nil"/>
        </w:pBdr>
        <w:rPr>
          <w:bdr w:val="nil"/>
        </w:rPr>
      </w:pPr>
      <w:r w:rsidRPr="00A869EF">
        <w:rPr>
          <w:bdr w:val="nil"/>
        </w:rPr>
        <w:lastRenderedPageBreak/>
        <w:t>Intangível</w:t>
      </w:r>
    </w:p>
    <w:p w:rsidR="00C4388A" w:rsidRPr="00C4388A" w:rsidRDefault="00A82039" w:rsidP="00C4388A">
      <w:pPr>
        <w:pStyle w:val="01-Textonormal"/>
        <w:pBdr>
          <w:top w:val="nil"/>
          <w:left w:val="nil"/>
          <w:bottom w:val="nil"/>
          <w:right w:val="nil"/>
          <w:between w:val="nil"/>
          <w:bar w:val="nil"/>
        </w:pBdr>
        <w:rPr>
          <w:bdr w:val="nil"/>
        </w:rPr>
      </w:pPr>
      <w:r w:rsidRPr="00C4388A">
        <w:rPr>
          <w:bdr w:val="nil"/>
        </w:rPr>
        <w:t>Os ativos intangíveis são mensurados pelo custo, deduzidos da amortização acumulada e das perdas por redução ao valor recuperável. Contemplam os gastos com aquisição de softwares e licenças de uso com prazo de amortização de 5 anos (Nota 10).</w:t>
      </w:r>
    </w:p>
    <w:p w:rsidR="00C4388A" w:rsidRPr="00C4388A" w:rsidRDefault="00A82039" w:rsidP="00C4388A">
      <w:pPr>
        <w:pStyle w:val="01-Textonormal"/>
        <w:pBdr>
          <w:top w:val="nil"/>
          <w:left w:val="nil"/>
          <w:bottom w:val="nil"/>
          <w:right w:val="nil"/>
          <w:between w:val="nil"/>
          <w:bar w:val="nil"/>
        </w:pBdr>
        <w:rPr>
          <w:bdr w:val="nil"/>
        </w:rPr>
      </w:pPr>
      <w:r w:rsidRPr="00C4388A">
        <w:rPr>
          <w:bdr w:val="nil"/>
        </w:rPr>
        <w:t>A amortização é reconhecida no resultado baseando-se no método linear com relação à vida útil estimada de ativos intangíveis, a partir da data em que estes estão disponíveis para uso, já que esse método é o que melhor reflete o padrão de consumo de benefícios econômicos futuros incorporados no ativo.</w:t>
      </w:r>
    </w:p>
    <w:p w:rsidR="003D251E" w:rsidRPr="00A869EF" w:rsidRDefault="00A82039" w:rsidP="00A869EF">
      <w:pPr>
        <w:pStyle w:val="03-SubttulodeNota"/>
        <w:pBdr>
          <w:top w:val="nil"/>
          <w:left w:val="nil"/>
          <w:bottom w:val="nil"/>
          <w:right w:val="nil"/>
          <w:between w:val="nil"/>
          <w:bar w:val="nil"/>
        </w:pBdr>
        <w:rPr>
          <w:sz w:val="20"/>
          <w:bdr w:val="nil"/>
        </w:rPr>
      </w:pPr>
      <w:r>
        <w:rPr>
          <w:bdr w:val="nil"/>
        </w:rPr>
        <w:t>Redução ao Valor Recuperável de Ativos não Financeiros</w:t>
      </w:r>
    </w:p>
    <w:p w:rsidR="00566FEE" w:rsidRPr="00566FEE" w:rsidRDefault="00A82039" w:rsidP="00AC08FA">
      <w:pPr>
        <w:pStyle w:val="03-SubttulodeNota"/>
        <w:numPr>
          <w:ilvl w:val="0"/>
          <w:numId w:val="0"/>
        </w:numPr>
        <w:pBdr>
          <w:top w:val="nil"/>
          <w:left w:val="nil"/>
          <w:bottom w:val="nil"/>
          <w:right w:val="nil"/>
          <w:between w:val="nil"/>
          <w:bar w:val="nil"/>
        </w:pBdr>
        <w:rPr>
          <w:b w:val="0"/>
          <w:snapToGrid w:val="0"/>
          <w:kern w:val="20"/>
          <w:szCs w:val="20"/>
          <w:bdr w:val="nil"/>
        </w:rPr>
      </w:pPr>
      <w:r w:rsidRPr="00566FEE">
        <w:rPr>
          <w:b w:val="0"/>
          <w:snapToGrid w:val="0"/>
          <w:kern w:val="20"/>
          <w:szCs w:val="20"/>
          <w:bdr w:val="nil"/>
        </w:rPr>
        <w:t xml:space="preserve">Ao final de cada período de reporte, a Ativos </w:t>
      </w:r>
      <w:r w:rsidR="00AC08FA">
        <w:rPr>
          <w:b w:val="0"/>
          <w:snapToGrid w:val="0"/>
          <w:kern w:val="20"/>
          <w:szCs w:val="20"/>
          <w:bdr w:val="nil"/>
        </w:rPr>
        <w:t>S.A.</w:t>
      </w:r>
      <w:r w:rsidRPr="00566FEE">
        <w:rPr>
          <w:b w:val="0"/>
          <w:snapToGrid w:val="0"/>
          <w:kern w:val="20"/>
          <w:szCs w:val="20"/>
          <w:bdr w:val="nil"/>
        </w:rPr>
        <w:t xml:space="preserve"> avalia, com base em fontes internas e externas de informação, se há alguma indicação de que um ativo alcançado pelo CPC 01 (R4) – Redução ao Valor Recuperável de Ativos possa ter sofrido desvalorização. Se houver indicação de desvalorização, a Ativos </w:t>
      </w:r>
      <w:r w:rsidR="00AC08FA">
        <w:rPr>
          <w:b w:val="0"/>
          <w:snapToGrid w:val="0"/>
          <w:kern w:val="20"/>
          <w:szCs w:val="20"/>
          <w:bdr w:val="nil"/>
        </w:rPr>
        <w:t>S.A.</w:t>
      </w:r>
      <w:r w:rsidRPr="00566FEE">
        <w:rPr>
          <w:b w:val="0"/>
          <w:snapToGrid w:val="0"/>
          <w:kern w:val="20"/>
          <w:szCs w:val="20"/>
          <w:bdr w:val="nil"/>
        </w:rPr>
        <w:t xml:space="preserve"> estima o valor recuperável do ativo, que é o maior entre: i) seu valor justo menos os custos para vendê-lo; e ii) o seu valor em uso.</w:t>
      </w:r>
    </w:p>
    <w:p w:rsidR="00566FEE" w:rsidRPr="00566FEE" w:rsidRDefault="00A82039" w:rsidP="00AC08FA">
      <w:pPr>
        <w:pStyle w:val="03-SubttulodeNota"/>
        <w:numPr>
          <w:ilvl w:val="0"/>
          <w:numId w:val="0"/>
        </w:numPr>
        <w:pBdr>
          <w:top w:val="nil"/>
          <w:left w:val="nil"/>
          <w:bottom w:val="nil"/>
          <w:right w:val="nil"/>
          <w:between w:val="nil"/>
          <w:bar w:val="nil"/>
        </w:pBdr>
        <w:rPr>
          <w:sz w:val="20"/>
          <w:bdr w:val="nil"/>
        </w:rPr>
      </w:pPr>
      <w:r w:rsidRPr="00566FEE">
        <w:rPr>
          <w:b w:val="0"/>
          <w:snapToGrid w:val="0"/>
          <w:kern w:val="20"/>
          <w:szCs w:val="20"/>
          <w:bdr w:val="nil"/>
        </w:rPr>
        <w:t>Se o valor recuperável do ativo for menor que o seu valor contábil, o valor contábil é reduzido ao seu valor recuperável pelo registro de perda por desvalorização, reconhecida na Demonstração do Resultado.</w:t>
      </w:r>
    </w:p>
    <w:p w:rsidR="003D251E" w:rsidRPr="00A869EF" w:rsidRDefault="00A82039" w:rsidP="00566FEE">
      <w:pPr>
        <w:pStyle w:val="03-SubttulodeNota"/>
        <w:pBdr>
          <w:top w:val="nil"/>
          <w:left w:val="nil"/>
          <w:bottom w:val="nil"/>
          <w:right w:val="nil"/>
          <w:between w:val="nil"/>
          <w:bar w:val="nil"/>
        </w:pBdr>
        <w:rPr>
          <w:sz w:val="20"/>
          <w:bdr w:val="nil"/>
        </w:rPr>
      </w:pPr>
      <w:r w:rsidRPr="00496F13">
        <w:rPr>
          <w:bdr w:val="nil"/>
        </w:rPr>
        <w:t>Provisões, Ativos e Passivos Contingentes e Obrigações Legais</w:t>
      </w:r>
    </w:p>
    <w:p w:rsidR="003D251E" w:rsidRDefault="00A82039" w:rsidP="00090AE1">
      <w:pPr>
        <w:pStyle w:val="01-Textonormal"/>
        <w:pBdr>
          <w:top w:val="nil"/>
          <w:left w:val="nil"/>
          <w:bottom w:val="nil"/>
          <w:right w:val="nil"/>
          <w:between w:val="nil"/>
          <w:bar w:val="nil"/>
        </w:pBdr>
        <w:rPr>
          <w:szCs w:val="18"/>
          <w:bdr w:val="nil"/>
        </w:rPr>
      </w:pPr>
      <w:r w:rsidRPr="00496F13">
        <w:rPr>
          <w:bdr w:val="nil"/>
        </w:rPr>
        <w:t xml:space="preserve">O reconhecimento, a mensuração e a divulgação dos ativos e passivos contingentes e obrigações legais são efetuados de acordo com os critérios definidos </w:t>
      </w:r>
      <w:r>
        <w:rPr>
          <w:bdr w:val="nil"/>
        </w:rPr>
        <w:t xml:space="preserve">pelo CPC </w:t>
      </w:r>
      <w:r w:rsidRPr="00496F13">
        <w:rPr>
          <w:bdr w:val="nil"/>
        </w:rPr>
        <w:t>25</w:t>
      </w:r>
      <w:r>
        <w:rPr>
          <w:bdr w:val="nil"/>
        </w:rPr>
        <w:t xml:space="preserve"> (R2)</w:t>
      </w:r>
      <w:r w:rsidRPr="00496F13">
        <w:rPr>
          <w:bdr w:val="nil"/>
        </w:rPr>
        <w:t xml:space="preserve"> – Provisões, Passivos Contingentes e Ativos Contingentes</w:t>
      </w:r>
      <w:r w:rsidRPr="00496F13">
        <w:rPr>
          <w:szCs w:val="18"/>
          <w:bdr w:val="nil"/>
        </w:rPr>
        <w:t>.</w:t>
      </w:r>
    </w:p>
    <w:p w:rsidR="00560AFC" w:rsidRPr="00496F13" w:rsidRDefault="00A82039" w:rsidP="00560AFC">
      <w:pPr>
        <w:pStyle w:val="01-Textonormal"/>
        <w:pBdr>
          <w:top w:val="nil"/>
          <w:left w:val="nil"/>
          <w:bottom w:val="nil"/>
          <w:right w:val="nil"/>
          <w:between w:val="nil"/>
          <w:bar w:val="nil"/>
        </w:pBdr>
        <w:rPr>
          <w:szCs w:val="18"/>
          <w:bdr w:val="nil"/>
        </w:rPr>
      </w:pPr>
      <w:r w:rsidRPr="00560AFC">
        <w:rPr>
          <w:szCs w:val="18"/>
          <w:bdr w:val="nil"/>
        </w:rPr>
        <w:t>Os ativos contingentes não são reconhecidos nas demonstrações contábeis, porém, quando há evidências que</w:t>
      </w:r>
      <w:r>
        <w:rPr>
          <w:szCs w:val="18"/>
          <w:bdr w:val="nil"/>
        </w:rPr>
        <w:t xml:space="preserve"> </w:t>
      </w:r>
      <w:r w:rsidRPr="00560AFC">
        <w:rPr>
          <w:szCs w:val="18"/>
          <w:bdr w:val="nil"/>
        </w:rPr>
        <w:t>propiciem a garantia de sua realização, usualmente representado pelo trânsito em julgado da ação e pela</w:t>
      </w:r>
      <w:r>
        <w:rPr>
          <w:szCs w:val="18"/>
          <w:bdr w:val="nil"/>
        </w:rPr>
        <w:t xml:space="preserve"> </w:t>
      </w:r>
      <w:r w:rsidRPr="00560AFC">
        <w:rPr>
          <w:szCs w:val="18"/>
          <w:bdr w:val="nil"/>
        </w:rPr>
        <w:t>confirmação da capacidade de sua recuperação por recebimento ou compensação por outro exigível, são</w:t>
      </w:r>
      <w:r>
        <w:rPr>
          <w:szCs w:val="18"/>
          <w:bdr w:val="nil"/>
        </w:rPr>
        <w:t xml:space="preserve"> </w:t>
      </w:r>
      <w:r w:rsidRPr="00560AFC">
        <w:rPr>
          <w:szCs w:val="18"/>
          <w:bdr w:val="nil"/>
        </w:rPr>
        <w:t>reconhecidos como ativo.</w:t>
      </w:r>
    </w:p>
    <w:p w:rsidR="003D251E" w:rsidRPr="00DF07C6" w:rsidRDefault="00A82039" w:rsidP="00090AE1">
      <w:pPr>
        <w:pStyle w:val="01-Textonormal"/>
        <w:pBdr>
          <w:top w:val="nil"/>
          <w:left w:val="nil"/>
          <w:bottom w:val="nil"/>
          <w:right w:val="nil"/>
          <w:between w:val="nil"/>
          <w:bar w:val="nil"/>
        </w:pBdr>
        <w:rPr>
          <w:color w:val="000000"/>
          <w:szCs w:val="18"/>
          <w:bdr w:val="nil"/>
        </w:rPr>
      </w:pPr>
      <w:r w:rsidRPr="00DF07C6">
        <w:rPr>
          <w:rFonts w:cs="Arial"/>
          <w:color w:val="000000"/>
          <w:szCs w:val="18"/>
          <w:bdr w:val="nil"/>
        </w:rPr>
        <w:t>Uma provisão para os passivos contingentes é reconhecida nas demonstrações cont</w:t>
      </w:r>
      <w:r>
        <w:rPr>
          <w:rFonts w:cs="Arial"/>
          <w:color w:val="000000"/>
          <w:szCs w:val="18"/>
          <w:bdr w:val="nil"/>
        </w:rPr>
        <w:t xml:space="preserve">ábeis quando, baseado na avaliação </w:t>
      </w:r>
      <w:r w:rsidRPr="00DF07C6">
        <w:rPr>
          <w:rFonts w:cs="Arial"/>
          <w:color w:val="000000"/>
          <w:szCs w:val="18"/>
          <w:bdr w:val="nil"/>
        </w:rPr>
        <w:t>de assessores jurídicos e da Administração, for considerado uma provável saída de recursos para a liquidação das obrigações e quando os montantes envolvidos forem mensuráveis com suficiente segurança, sendo quantificados quando da citação/notificação judicial e revisados mensalmente.</w:t>
      </w:r>
    </w:p>
    <w:p w:rsidR="003D251E" w:rsidRPr="00DF07C6" w:rsidRDefault="00A82039" w:rsidP="00090AE1">
      <w:pPr>
        <w:pStyle w:val="01-Textonormal"/>
        <w:pBdr>
          <w:top w:val="nil"/>
          <w:left w:val="nil"/>
          <w:bottom w:val="nil"/>
          <w:right w:val="nil"/>
          <w:between w:val="nil"/>
          <w:bar w:val="nil"/>
        </w:pBdr>
        <w:rPr>
          <w:rFonts w:cs="Arial"/>
          <w:color w:val="000000"/>
          <w:szCs w:val="18"/>
          <w:bdr w:val="nil"/>
        </w:rPr>
      </w:pPr>
      <w:r w:rsidRPr="00DF07C6">
        <w:rPr>
          <w:rFonts w:cs="Arial"/>
          <w:color w:val="000000"/>
          <w:szCs w:val="18"/>
          <w:bdr w:val="nil"/>
        </w:rPr>
        <w:t>A Ativos S.A. utiliza para fins de provisão para os passivos contingentes método massificado e estatístico de probabilidade e previsão estimada, denominado “valor esperado” (contempla os processos com probabilidade de êxito do autor igua</w:t>
      </w:r>
      <w:r w:rsidR="00EC36ED">
        <w:rPr>
          <w:rFonts w:cs="Arial"/>
          <w:color w:val="000000"/>
          <w:szCs w:val="18"/>
          <w:bdr w:val="nil"/>
        </w:rPr>
        <w:t>is</w:t>
      </w:r>
      <w:r w:rsidRPr="00DF07C6">
        <w:rPr>
          <w:rFonts w:cs="Arial"/>
          <w:color w:val="000000"/>
          <w:szCs w:val="18"/>
          <w:bdr w:val="nil"/>
        </w:rPr>
        <w:t xml:space="preserve"> a remoto, possível ou provável), conforme </w:t>
      </w:r>
      <w:r>
        <w:rPr>
          <w:rFonts w:cs="Arial"/>
          <w:color w:val="000000"/>
          <w:szCs w:val="18"/>
          <w:bdr w:val="nil"/>
        </w:rPr>
        <w:t>CPC</w:t>
      </w:r>
      <w:r w:rsidRPr="00DF07C6">
        <w:rPr>
          <w:rFonts w:cs="Arial"/>
          <w:color w:val="000000"/>
          <w:szCs w:val="18"/>
          <w:bdr w:val="nil"/>
        </w:rPr>
        <w:t xml:space="preserve"> 25 (R</w:t>
      </w:r>
      <w:r>
        <w:rPr>
          <w:rFonts w:cs="Arial"/>
          <w:color w:val="000000"/>
          <w:szCs w:val="18"/>
          <w:bdr w:val="nil"/>
        </w:rPr>
        <w:t>2</w:t>
      </w:r>
      <w:r w:rsidRPr="00DF07C6">
        <w:rPr>
          <w:rFonts w:cs="Arial"/>
          <w:color w:val="000000"/>
          <w:szCs w:val="18"/>
          <w:bdr w:val="nil"/>
        </w:rPr>
        <w:t>), item 39.</w:t>
      </w:r>
    </w:p>
    <w:p w:rsidR="003D251E" w:rsidRDefault="00A82039" w:rsidP="00090AE1">
      <w:pPr>
        <w:pStyle w:val="01-Textonormal"/>
        <w:pBdr>
          <w:top w:val="nil"/>
          <w:left w:val="nil"/>
          <w:bottom w:val="nil"/>
          <w:right w:val="nil"/>
          <w:between w:val="nil"/>
          <w:bar w:val="nil"/>
        </w:pBdr>
        <w:rPr>
          <w:szCs w:val="18"/>
          <w:bdr w:val="nil"/>
        </w:rPr>
      </w:pPr>
      <w:r>
        <w:rPr>
          <w:szCs w:val="18"/>
          <w:bdr w:val="nil"/>
        </w:rPr>
        <w:t>As obrigações legais são derivadas de obrigações tributárias previstas na legislação, independentemente da probabilidade de sucesso de processos judiciais em andamento e têm os seus montantes reconhecidos integralmente nas demonstrações contábeis.</w:t>
      </w:r>
    </w:p>
    <w:p w:rsidR="003D251E" w:rsidRPr="00A869EF" w:rsidRDefault="00A82039" w:rsidP="00A869EF">
      <w:pPr>
        <w:pStyle w:val="03-SubttulodeNota"/>
        <w:pBdr>
          <w:top w:val="nil"/>
          <w:left w:val="nil"/>
          <w:bottom w:val="nil"/>
          <w:right w:val="nil"/>
          <w:between w:val="nil"/>
          <w:bar w:val="nil"/>
        </w:pBdr>
        <w:rPr>
          <w:sz w:val="20"/>
          <w:bdr w:val="nil"/>
        </w:rPr>
      </w:pPr>
      <w:r>
        <w:rPr>
          <w:bdr w:val="nil"/>
        </w:rPr>
        <w:t>Moeda Funcional</w:t>
      </w:r>
    </w:p>
    <w:p w:rsidR="003D251E" w:rsidRDefault="00A82039" w:rsidP="00090AE1">
      <w:pPr>
        <w:pStyle w:val="01-Textonormal"/>
        <w:pBdr>
          <w:top w:val="nil"/>
          <w:left w:val="nil"/>
          <w:bottom w:val="nil"/>
          <w:right w:val="nil"/>
          <w:between w:val="nil"/>
          <w:bar w:val="nil"/>
        </w:pBdr>
        <w:rPr>
          <w:snapToGrid w:val="0"/>
          <w:bdr w:val="nil"/>
        </w:rPr>
      </w:pPr>
      <w:r>
        <w:rPr>
          <w:snapToGrid w:val="0"/>
          <w:bdr w:val="nil"/>
        </w:rPr>
        <w:t>A moeda funcional e de apresentação das demonstrações contábeis da Ativos S.A. é o Real (R$).</w:t>
      </w:r>
    </w:p>
    <w:p w:rsidR="003D251E" w:rsidRPr="00A869EF" w:rsidRDefault="00A82039" w:rsidP="00A869EF">
      <w:pPr>
        <w:pStyle w:val="03-SubttulodeNota"/>
        <w:pBdr>
          <w:top w:val="nil"/>
          <w:left w:val="nil"/>
          <w:bottom w:val="nil"/>
          <w:right w:val="nil"/>
          <w:between w:val="nil"/>
          <w:bar w:val="nil"/>
        </w:pBdr>
        <w:rPr>
          <w:sz w:val="20"/>
          <w:bdr w:val="nil"/>
        </w:rPr>
      </w:pPr>
      <w:r>
        <w:rPr>
          <w:bdr w:val="nil"/>
        </w:rPr>
        <w:t>Gerenciamento de Riscos</w:t>
      </w:r>
    </w:p>
    <w:p w:rsidR="009D7138" w:rsidRDefault="00A82039" w:rsidP="009D7138">
      <w:pPr>
        <w:pStyle w:val="01-Textonormal1"/>
        <w:pBdr>
          <w:top w:val="nil"/>
          <w:left w:val="nil"/>
          <w:bottom w:val="nil"/>
          <w:right w:val="nil"/>
          <w:between w:val="nil"/>
          <w:bar w:val="nil"/>
        </w:pBdr>
        <w:rPr>
          <w:bdr w:val="nil"/>
        </w:rPr>
      </w:pPr>
      <w:r>
        <w:rPr>
          <w:bdr w:val="nil"/>
        </w:rPr>
        <w:t xml:space="preserve">A Ativos S.A. adota política conservadora, em alinhamento com a política de gerenciamento de riscos do Conglomerado Banco do Brasil. A Companhia não opera no mercado de derivativos, câmbio, instrumentos financeiros sujeitos à </w:t>
      </w:r>
      <w:r w:rsidRPr="009D7138">
        <w:rPr>
          <w:i/>
          <w:bdr w:val="nil"/>
        </w:rPr>
        <w:t>Volcker Rules</w:t>
      </w:r>
      <w:r>
        <w:rPr>
          <w:bdr w:val="nil"/>
        </w:rPr>
        <w:t xml:space="preserve"> ou com itens diferentes do R$ - Real.</w:t>
      </w:r>
    </w:p>
    <w:p w:rsidR="009D7138" w:rsidRDefault="00A82039" w:rsidP="009D7138">
      <w:pPr>
        <w:pStyle w:val="01-Textonormal1"/>
        <w:pBdr>
          <w:top w:val="nil"/>
          <w:left w:val="nil"/>
          <w:bottom w:val="nil"/>
          <w:right w:val="nil"/>
          <w:between w:val="nil"/>
          <w:bar w:val="nil"/>
        </w:pBdr>
        <w:rPr>
          <w:bdr w:val="nil"/>
        </w:rPr>
      </w:pPr>
      <w:r>
        <w:rPr>
          <w:bdr w:val="nil"/>
        </w:rPr>
        <w:t xml:space="preserve">A Ativos S.A. não está sujeita ao Risco de Crédito, devido ao modelo de negócio, não existindo as figuras de tomador e devedor e inexistindo inadimplência de crédito. A Companhia possui estrutura própria de gestão de riscos com diretrizes para o processo de identificação, avaliação, mensuração, controle, mitigação, monitoramento e reporte dos riscos envolvidos no negócio. </w:t>
      </w:r>
    </w:p>
    <w:p w:rsidR="009D7138" w:rsidRDefault="00A82039" w:rsidP="009D7138">
      <w:pPr>
        <w:pStyle w:val="01-Textonormal1"/>
        <w:pBdr>
          <w:top w:val="nil"/>
          <w:left w:val="nil"/>
          <w:bottom w:val="nil"/>
          <w:right w:val="nil"/>
          <w:between w:val="nil"/>
          <w:bar w:val="nil"/>
        </w:pBdr>
        <w:rPr>
          <w:bdr w:val="nil"/>
        </w:rPr>
      </w:pPr>
      <w:r>
        <w:rPr>
          <w:bdr w:val="nil"/>
        </w:rPr>
        <w:t xml:space="preserve">A Ativos S.A. adota a gestão integrada de riscos corporativos, com foco na inter-relação entre os processos, pessoas, sistemas, controle, riscos e resultados. </w:t>
      </w:r>
    </w:p>
    <w:p w:rsidR="009D7138" w:rsidRDefault="00A82039" w:rsidP="009D7138">
      <w:pPr>
        <w:pStyle w:val="01-Textonormal1"/>
        <w:pBdr>
          <w:top w:val="nil"/>
          <w:left w:val="nil"/>
          <w:bottom w:val="nil"/>
          <w:right w:val="nil"/>
          <w:between w:val="nil"/>
          <w:bar w:val="nil"/>
        </w:pBdr>
        <w:rPr>
          <w:bdr w:val="nil"/>
        </w:rPr>
      </w:pPr>
      <w:r>
        <w:rPr>
          <w:bdr w:val="nil"/>
        </w:rPr>
        <w:t xml:space="preserve">As disponibilidades são mantidas </w:t>
      </w:r>
      <w:r w:rsidR="00EC36ED">
        <w:rPr>
          <w:bdr w:val="nil"/>
        </w:rPr>
        <w:t xml:space="preserve">em conta corrente e em </w:t>
      </w:r>
      <w:r>
        <w:rPr>
          <w:bdr w:val="nil"/>
        </w:rPr>
        <w:t xml:space="preserve">aplicações financeiras realizadas com os fundos de </w:t>
      </w:r>
      <w:r w:rsidR="00EC36ED">
        <w:rPr>
          <w:bdr w:val="nil"/>
        </w:rPr>
        <w:t>renda fixa, de alta liquidez e baixa volatilidade,</w:t>
      </w:r>
      <w:r>
        <w:rPr>
          <w:bdr w:val="nil"/>
        </w:rPr>
        <w:t xml:space="preserve"> administrados pela BB DTVM</w:t>
      </w:r>
      <w:r w:rsidR="00EC36ED">
        <w:rPr>
          <w:bdr w:val="nil"/>
        </w:rPr>
        <w:t xml:space="preserve"> e/ou em papéis emitidos pelo Banco do Brasil e/ou em cotas de subordinadas</w:t>
      </w:r>
      <w:r>
        <w:rPr>
          <w:bdr w:val="nil"/>
        </w:rPr>
        <w:t xml:space="preserve"> de Fundos de Investimento em Direitos Creditórios – FIDC, o que minimiza principalmente os riscos de liquidez e de mercado.</w:t>
      </w:r>
    </w:p>
    <w:p w:rsidR="009D7138" w:rsidRDefault="00A82039" w:rsidP="009D7138">
      <w:pPr>
        <w:pStyle w:val="01-Textonormal1"/>
        <w:pBdr>
          <w:top w:val="nil"/>
          <w:left w:val="nil"/>
          <w:bottom w:val="nil"/>
          <w:right w:val="nil"/>
          <w:between w:val="nil"/>
          <w:bar w:val="nil"/>
        </w:pBdr>
        <w:rPr>
          <w:bdr w:val="nil"/>
        </w:rPr>
      </w:pPr>
      <w:r>
        <w:rPr>
          <w:bdr w:val="nil"/>
        </w:rPr>
        <w:t>Os riscos considerados como relevantes, avaliados a partir da análise dos processos, do impacto e da probabilidade de ocorrência nos negócios são:</w:t>
      </w:r>
    </w:p>
    <w:p w:rsidR="009D7138" w:rsidRDefault="00A82039" w:rsidP="009D7138">
      <w:pPr>
        <w:pStyle w:val="01-Textonormal1"/>
        <w:pBdr>
          <w:top w:val="nil"/>
          <w:left w:val="nil"/>
          <w:bottom w:val="nil"/>
          <w:right w:val="nil"/>
          <w:between w:val="nil"/>
          <w:bar w:val="nil"/>
        </w:pBdr>
        <w:rPr>
          <w:bdr w:val="nil"/>
        </w:rPr>
      </w:pPr>
      <w:r>
        <w:rPr>
          <w:bdr w:val="nil"/>
        </w:rPr>
        <w:lastRenderedPageBreak/>
        <w:t>Risco de Liquidez;</w:t>
      </w:r>
    </w:p>
    <w:p w:rsidR="009D7138" w:rsidRDefault="00A82039" w:rsidP="009D7138">
      <w:pPr>
        <w:pStyle w:val="01-Textonormal1"/>
        <w:pBdr>
          <w:top w:val="nil"/>
          <w:left w:val="nil"/>
          <w:bottom w:val="nil"/>
          <w:right w:val="nil"/>
          <w:between w:val="nil"/>
          <w:bar w:val="nil"/>
        </w:pBdr>
        <w:rPr>
          <w:bdr w:val="nil"/>
        </w:rPr>
      </w:pPr>
      <w:r>
        <w:rPr>
          <w:bdr w:val="nil"/>
        </w:rPr>
        <w:t>Risco de Mercado;</w:t>
      </w:r>
    </w:p>
    <w:p w:rsidR="009D7138" w:rsidRDefault="00A82039" w:rsidP="009D7138">
      <w:pPr>
        <w:pStyle w:val="01-Textonormal1"/>
        <w:pBdr>
          <w:top w:val="nil"/>
          <w:left w:val="nil"/>
          <w:bottom w:val="nil"/>
          <w:right w:val="nil"/>
          <w:between w:val="nil"/>
          <w:bar w:val="nil"/>
        </w:pBdr>
        <w:rPr>
          <w:bdr w:val="nil"/>
        </w:rPr>
      </w:pPr>
      <w:r>
        <w:rPr>
          <w:bdr w:val="nil"/>
        </w:rPr>
        <w:t>Risco Operacional;</w:t>
      </w:r>
    </w:p>
    <w:p w:rsidR="009D7138" w:rsidRDefault="00A82039" w:rsidP="009D7138">
      <w:pPr>
        <w:pStyle w:val="01-Textonormal1"/>
        <w:pBdr>
          <w:top w:val="nil"/>
          <w:left w:val="nil"/>
          <w:bottom w:val="nil"/>
          <w:right w:val="nil"/>
          <w:between w:val="nil"/>
          <w:bar w:val="nil"/>
        </w:pBdr>
        <w:ind w:left="360"/>
        <w:rPr>
          <w:bdr w:val="nil"/>
        </w:rPr>
      </w:pPr>
      <w:r>
        <w:rPr>
          <w:bdr w:val="nil"/>
        </w:rPr>
        <w:t>Risco de legal;</w:t>
      </w:r>
    </w:p>
    <w:p w:rsidR="009D7138" w:rsidRDefault="00A82039" w:rsidP="009D7138">
      <w:pPr>
        <w:pStyle w:val="01-Textonormal1"/>
        <w:pBdr>
          <w:top w:val="nil"/>
          <w:left w:val="nil"/>
          <w:bottom w:val="nil"/>
          <w:right w:val="nil"/>
          <w:between w:val="nil"/>
          <w:bar w:val="nil"/>
        </w:pBdr>
        <w:ind w:left="360"/>
        <w:rPr>
          <w:bdr w:val="nil"/>
        </w:rPr>
      </w:pPr>
      <w:r>
        <w:rPr>
          <w:bdr w:val="nil"/>
        </w:rPr>
        <w:t>Risco de Lavagem de Dinheiro, de Financiamento ao Terrorismo e de Corrupção;</w:t>
      </w:r>
    </w:p>
    <w:p w:rsidR="009D7138" w:rsidRDefault="00A82039" w:rsidP="009D7138">
      <w:pPr>
        <w:pStyle w:val="01-Textonormal1"/>
        <w:pBdr>
          <w:top w:val="nil"/>
          <w:left w:val="nil"/>
          <w:bottom w:val="nil"/>
          <w:right w:val="nil"/>
          <w:between w:val="nil"/>
          <w:bar w:val="nil"/>
        </w:pBdr>
        <w:ind w:left="360"/>
        <w:rPr>
          <w:bdr w:val="nil"/>
        </w:rPr>
      </w:pPr>
      <w:r>
        <w:rPr>
          <w:bdr w:val="nil"/>
        </w:rPr>
        <w:t>Risco de Relacionamento da Companhia com Fornecedores;</w:t>
      </w:r>
    </w:p>
    <w:p w:rsidR="009D7138" w:rsidRDefault="00A82039" w:rsidP="009D7138">
      <w:pPr>
        <w:pStyle w:val="01-Textonormal1"/>
        <w:pBdr>
          <w:top w:val="nil"/>
          <w:left w:val="nil"/>
          <w:bottom w:val="nil"/>
          <w:right w:val="nil"/>
          <w:between w:val="nil"/>
          <w:bar w:val="nil"/>
        </w:pBdr>
        <w:rPr>
          <w:bdr w:val="nil"/>
        </w:rPr>
      </w:pPr>
      <w:r>
        <w:rPr>
          <w:bdr w:val="nil"/>
        </w:rPr>
        <w:t>Risco de Estratégia;</w:t>
      </w:r>
    </w:p>
    <w:p w:rsidR="009D7138" w:rsidRDefault="00A82039" w:rsidP="009D7138">
      <w:pPr>
        <w:pStyle w:val="01-Textonormal1"/>
        <w:pBdr>
          <w:top w:val="nil"/>
          <w:left w:val="nil"/>
          <w:bottom w:val="nil"/>
          <w:right w:val="nil"/>
          <w:between w:val="nil"/>
          <w:bar w:val="nil"/>
        </w:pBdr>
        <w:ind w:left="360"/>
        <w:rPr>
          <w:bdr w:val="nil"/>
        </w:rPr>
      </w:pPr>
      <w:r>
        <w:rPr>
          <w:bdr w:val="nil"/>
        </w:rPr>
        <w:t>Risco de Reputação;</w:t>
      </w:r>
    </w:p>
    <w:p w:rsidR="009D7138" w:rsidRDefault="00A82039" w:rsidP="009D7138">
      <w:pPr>
        <w:pStyle w:val="01-Textonormal1"/>
        <w:pBdr>
          <w:top w:val="nil"/>
          <w:left w:val="nil"/>
          <w:bottom w:val="nil"/>
          <w:right w:val="nil"/>
          <w:between w:val="nil"/>
          <w:bar w:val="nil"/>
        </w:pBdr>
        <w:ind w:left="360"/>
        <w:rPr>
          <w:bdr w:val="nil"/>
        </w:rPr>
      </w:pPr>
      <w:r>
        <w:rPr>
          <w:bdr w:val="nil"/>
        </w:rPr>
        <w:t>Risco de Modelagem;</w:t>
      </w:r>
    </w:p>
    <w:p w:rsidR="009D7138" w:rsidRDefault="00A82039" w:rsidP="009D7138">
      <w:pPr>
        <w:pStyle w:val="01-Textonormal1"/>
        <w:pBdr>
          <w:top w:val="nil"/>
          <w:left w:val="nil"/>
          <w:bottom w:val="nil"/>
          <w:right w:val="nil"/>
          <w:between w:val="nil"/>
          <w:bar w:val="nil"/>
        </w:pBdr>
        <w:rPr>
          <w:bdr w:val="nil"/>
        </w:rPr>
      </w:pPr>
      <w:r>
        <w:rPr>
          <w:bdr w:val="nil"/>
        </w:rPr>
        <w:t>Risco Socioambiental;</w:t>
      </w:r>
    </w:p>
    <w:p w:rsidR="009D7138" w:rsidRDefault="00A82039" w:rsidP="009D7138">
      <w:pPr>
        <w:pStyle w:val="01-Textonormal1"/>
        <w:pBdr>
          <w:top w:val="nil"/>
          <w:left w:val="nil"/>
          <w:bottom w:val="nil"/>
          <w:right w:val="nil"/>
          <w:between w:val="nil"/>
          <w:bar w:val="nil"/>
        </w:pBdr>
        <w:rPr>
          <w:bdr w:val="nil"/>
        </w:rPr>
      </w:pPr>
      <w:r>
        <w:rPr>
          <w:bdr w:val="nil"/>
        </w:rPr>
        <w:t>Risco de Segurança;</w:t>
      </w:r>
    </w:p>
    <w:p w:rsidR="009D7138" w:rsidRDefault="00A82039" w:rsidP="009D7138">
      <w:pPr>
        <w:pStyle w:val="01-Textonormal1"/>
        <w:pBdr>
          <w:top w:val="nil"/>
          <w:left w:val="nil"/>
          <w:bottom w:val="nil"/>
          <w:right w:val="nil"/>
          <w:between w:val="nil"/>
          <w:bar w:val="nil"/>
        </w:pBdr>
        <w:rPr>
          <w:bdr w:val="nil"/>
        </w:rPr>
      </w:pPr>
      <w:r>
        <w:rPr>
          <w:bdr w:val="nil"/>
        </w:rPr>
        <w:t xml:space="preserve">Risco de Continuidade de Negócios; e </w:t>
      </w:r>
    </w:p>
    <w:p w:rsidR="009D7138" w:rsidRDefault="00A82039" w:rsidP="009D7138">
      <w:pPr>
        <w:pStyle w:val="01-Textonormal1"/>
        <w:pBdr>
          <w:top w:val="nil"/>
          <w:left w:val="nil"/>
          <w:bottom w:val="nil"/>
          <w:right w:val="nil"/>
          <w:between w:val="nil"/>
          <w:bar w:val="nil"/>
        </w:pBdr>
        <w:rPr>
          <w:bdr w:val="nil"/>
        </w:rPr>
      </w:pPr>
      <w:r>
        <w:rPr>
          <w:bdr w:val="nil"/>
        </w:rPr>
        <w:t>Risco de Conformidade (</w:t>
      </w:r>
      <w:r w:rsidRPr="009D7138">
        <w:rPr>
          <w:i/>
          <w:bdr w:val="nil"/>
        </w:rPr>
        <w:t>Compliance</w:t>
      </w:r>
      <w:r>
        <w:rPr>
          <w:bdr w:val="nil"/>
        </w:rPr>
        <w:t>).</w:t>
      </w:r>
    </w:p>
    <w:p w:rsidR="009D7138" w:rsidRDefault="00A82039" w:rsidP="009D7138">
      <w:pPr>
        <w:pStyle w:val="01-Textonormal1"/>
        <w:pBdr>
          <w:top w:val="nil"/>
          <w:left w:val="nil"/>
          <w:bottom w:val="nil"/>
          <w:right w:val="nil"/>
          <w:between w:val="nil"/>
          <w:bar w:val="nil"/>
        </w:pBdr>
        <w:rPr>
          <w:bdr w:val="nil"/>
        </w:rPr>
      </w:pPr>
      <w:r>
        <w:rPr>
          <w:bdr w:val="nil"/>
        </w:rPr>
        <w:t>Na Ativos S.A. a gestão dos riscos é realizada de forma segregada das unidades de negócios.</w:t>
      </w:r>
    </w:p>
    <w:p w:rsidR="009D7138" w:rsidRDefault="00A82039" w:rsidP="009D7138">
      <w:pPr>
        <w:pStyle w:val="01-Textonormal1"/>
        <w:pBdr>
          <w:top w:val="nil"/>
          <w:left w:val="nil"/>
          <w:bottom w:val="nil"/>
          <w:right w:val="nil"/>
          <w:between w:val="nil"/>
          <w:bar w:val="nil"/>
        </w:pBdr>
        <w:rPr>
          <w:bdr w:val="nil"/>
        </w:rPr>
      </w:pPr>
      <w:r>
        <w:rPr>
          <w:bdr w:val="nil"/>
        </w:rPr>
        <w:t>A Companhia estabeleceu Programa de Integridade contendo mecanismos e procedimentos internos de integridade, auditoria, incentivo à denúncia e aplicação efetiva do Código de Conduta e Integridade e a Política Unificada de Gestão de Riscos.</w:t>
      </w:r>
    </w:p>
    <w:p w:rsidR="00AC4CE4" w:rsidRDefault="00A82039" w:rsidP="009D7138">
      <w:pPr>
        <w:pStyle w:val="01-Textonormal1"/>
        <w:pBdr>
          <w:top w:val="nil"/>
          <w:left w:val="nil"/>
          <w:bottom w:val="nil"/>
          <w:right w:val="nil"/>
          <w:between w:val="nil"/>
          <w:bar w:val="nil"/>
        </w:pBdr>
        <w:rPr>
          <w:bdr w:val="nil"/>
        </w:rPr>
      </w:pPr>
      <w:r>
        <w:rPr>
          <w:bdr w:val="nil"/>
        </w:rPr>
        <w:t>A Política Unificada de Gestão de Riscos e o Programa de Integridade são aprovados pelo Conselho de Administração, com o assessoramento do Comitê de Riscos e de Capital (Coris) do Conglomerado BB e ficam disponíveis no site da Ativos S.A. (</w:t>
      </w:r>
      <w:hyperlink r:id="rId37" w:history="1">
        <w:r w:rsidRPr="00756F84">
          <w:rPr>
            <w:rStyle w:val="Hyperlink"/>
            <w:bdr w:val="nil"/>
          </w:rPr>
          <w:t>www.ativossa.com.br</w:t>
        </w:r>
      </w:hyperlink>
      <w:r>
        <w:rPr>
          <w:bdr w:val="nil"/>
        </w:rPr>
        <w:t>).</w:t>
      </w:r>
    </w:p>
    <w:p w:rsidR="006E1EE5" w:rsidRDefault="00A82039" w:rsidP="006E1EE5">
      <w:pPr>
        <w:pStyle w:val="03-SubttulodeNota"/>
        <w:pBdr>
          <w:top w:val="nil"/>
          <w:left w:val="nil"/>
          <w:bottom w:val="nil"/>
          <w:right w:val="nil"/>
          <w:between w:val="nil"/>
          <w:bar w:val="nil"/>
        </w:pBdr>
        <w:rPr>
          <w:bdr w:val="nil"/>
        </w:rPr>
      </w:pPr>
      <w:r>
        <w:rPr>
          <w:bdr w:val="nil"/>
        </w:rPr>
        <w:t>Normas e pronunciamentos emitidos e adotados durante o período de 2019</w:t>
      </w:r>
    </w:p>
    <w:p w:rsidR="006E1EE5" w:rsidRPr="006E1EE5" w:rsidRDefault="00A82039" w:rsidP="006E1EE5">
      <w:pPr>
        <w:pStyle w:val="01-Textonormal1"/>
        <w:pBdr>
          <w:top w:val="nil"/>
          <w:left w:val="nil"/>
          <w:bottom w:val="nil"/>
          <w:right w:val="nil"/>
          <w:between w:val="nil"/>
          <w:bar w:val="nil"/>
        </w:pBdr>
        <w:rPr>
          <w:bdr w:val="nil"/>
        </w:rPr>
      </w:pPr>
      <w:r>
        <w:rPr>
          <w:bdr w:val="nil"/>
        </w:rPr>
        <w:t xml:space="preserve">O CPC 06 (R2) – Arrendamentos – aprovado em outubro de 2017, entrou em vigor a partir de 01.01.2019. A norma introduz um modelo abrangente para identificação de acordos de arrendamento e tratamentos contábeis para arrendatários e arrendadores, justificando as atuais orientações.  </w:t>
      </w:r>
    </w:p>
    <w:p w:rsidR="00F44F66" w:rsidRDefault="00A82039" w:rsidP="00551B52">
      <w:pPr>
        <w:pStyle w:val="01-Textonormal1"/>
        <w:pBdr>
          <w:top w:val="nil"/>
          <w:left w:val="nil"/>
          <w:bottom w:val="nil"/>
          <w:right w:val="nil"/>
          <w:between w:val="nil"/>
          <w:bar w:val="nil"/>
        </w:pBdr>
        <w:rPr>
          <w:bdr w:val="nil"/>
        </w:rPr>
      </w:pPr>
      <w:r>
        <w:rPr>
          <w:bdr w:val="nil"/>
        </w:rPr>
        <w:t>A Ativos S.A. optou por utilizar o expediente prático previsto na norma, conforme item C3 (b) do apêndice C, que é o de não aplicar o pronunciamento a contratos que não foram identificados anteriormente como contendo arrendamento. Neste sentido, a Ativos S.A. não apurou efeitos pela adoção do pronunciamento no período, uma vez que não possuía contratos identificados com esta característica até 31.12.2018 e em 31.12.2019.</w:t>
      </w:r>
    </w:p>
    <w:p w:rsidR="0081179F" w:rsidRDefault="00A82039" w:rsidP="0081179F">
      <w:pPr>
        <w:pStyle w:val="Cabealho"/>
        <w:pBdr>
          <w:top w:val="nil"/>
          <w:left w:val="nil"/>
          <w:bottom w:val="nil"/>
          <w:right w:val="nil"/>
          <w:between w:val="nil"/>
          <w:bar w:val="nil"/>
        </w:pBdr>
        <w:jc w:val="both"/>
        <w:rPr>
          <w:rFonts w:ascii="Arial" w:eastAsia="Times New Roman" w:hAnsi="Arial"/>
          <w:kern w:val="20"/>
          <w:sz w:val="18"/>
          <w:szCs w:val="20"/>
          <w:bdr w:val="nil"/>
          <w:lang w:eastAsia="pt-BR"/>
        </w:rPr>
      </w:pPr>
      <w:r>
        <w:rPr>
          <w:rFonts w:ascii="Arial" w:eastAsia="Times New Roman" w:hAnsi="Arial"/>
          <w:kern w:val="20"/>
          <w:sz w:val="18"/>
          <w:szCs w:val="20"/>
          <w:bdr w:val="nil"/>
          <w:lang w:eastAsia="pt-BR"/>
        </w:rPr>
        <w:t xml:space="preserve">A interpretação ICPC 22, aprovada pelo Conselho Federal de Contabilidade por meio da ITG 22, de 19.12.2018, esclarece como aplicar os requisitos de reconhecimento e mensuração do CPC 32 quando há incerteza sobre os tratamentos de tributo sobre o lucro. A Administração da Companhia deve reconhecer e mensurar seu tributo corrente ou diferido ativo ou passivo, aplicando os requisitos do CPC 32 com base em lucro tributável/prejuízo fiscal, bases fiscais, prejuízos fiscais não utilizados, créditos fiscais não utilizados e alíquotas fiscais determinados, aplicando esta interpretação. A interpretação é aplicável para períodos anuais com início em, ou após 1º de janeiro de 2019. </w:t>
      </w:r>
    </w:p>
    <w:p w:rsidR="0081179F" w:rsidRDefault="0081179F" w:rsidP="0081179F">
      <w:pPr>
        <w:pStyle w:val="Cabealho"/>
        <w:pBdr>
          <w:top w:val="nil"/>
          <w:left w:val="nil"/>
          <w:bottom w:val="nil"/>
          <w:right w:val="nil"/>
          <w:between w:val="nil"/>
          <w:bar w:val="nil"/>
        </w:pBdr>
        <w:jc w:val="both"/>
        <w:rPr>
          <w:rFonts w:ascii="Arial" w:eastAsia="Times New Roman" w:hAnsi="Arial"/>
          <w:kern w:val="20"/>
          <w:sz w:val="18"/>
          <w:szCs w:val="20"/>
          <w:bdr w:val="nil"/>
          <w:lang w:eastAsia="pt-BR"/>
        </w:rPr>
      </w:pPr>
    </w:p>
    <w:p w:rsidR="00FC035D" w:rsidRDefault="00A82039" w:rsidP="0081179F">
      <w:pPr>
        <w:pStyle w:val="Cabealho"/>
        <w:pBdr>
          <w:top w:val="nil"/>
          <w:left w:val="nil"/>
          <w:bottom w:val="nil"/>
          <w:right w:val="nil"/>
          <w:between w:val="nil"/>
          <w:bar w:val="nil"/>
        </w:pBdr>
        <w:jc w:val="both"/>
        <w:rPr>
          <w:rFonts w:ascii="Arial" w:eastAsia="Times New Roman" w:hAnsi="Arial"/>
          <w:kern w:val="20"/>
          <w:sz w:val="18"/>
          <w:szCs w:val="20"/>
          <w:bdr w:val="nil"/>
          <w:lang w:eastAsia="pt-BR"/>
        </w:rPr>
      </w:pPr>
      <w:r>
        <w:rPr>
          <w:rFonts w:ascii="Arial" w:eastAsia="Times New Roman" w:hAnsi="Arial"/>
          <w:kern w:val="20"/>
          <w:sz w:val="18"/>
          <w:szCs w:val="20"/>
          <w:bdr w:val="nil"/>
          <w:lang w:eastAsia="pt-BR"/>
        </w:rPr>
        <w:t>A Ativos S.A. não identificou impactos significativos na análise e aplicação da interpretação ICPC 22.</w:t>
      </w:r>
    </w:p>
    <w:p w:rsidR="003B60C3" w:rsidRDefault="003B60C3" w:rsidP="0081179F">
      <w:pPr>
        <w:pStyle w:val="Cabealho"/>
        <w:pBdr>
          <w:top w:val="nil"/>
          <w:left w:val="nil"/>
          <w:bottom w:val="nil"/>
          <w:right w:val="nil"/>
          <w:between w:val="nil"/>
          <w:bar w:val="nil"/>
        </w:pBdr>
        <w:jc w:val="both"/>
        <w:rPr>
          <w:rFonts w:ascii="Arial" w:eastAsia="Times New Roman" w:hAnsi="Arial"/>
          <w:kern w:val="20"/>
          <w:sz w:val="18"/>
          <w:szCs w:val="20"/>
          <w:bdr w:val="nil"/>
          <w:lang w:eastAsia="pt-BR"/>
        </w:rPr>
      </w:pPr>
    </w:p>
    <w:p w:rsidR="003B60C3" w:rsidRDefault="003B60C3" w:rsidP="0081179F">
      <w:pPr>
        <w:pStyle w:val="Cabealho"/>
        <w:pBdr>
          <w:top w:val="nil"/>
          <w:left w:val="nil"/>
          <w:bottom w:val="nil"/>
          <w:right w:val="nil"/>
          <w:between w:val="nil"/>
          <w:bar w:val="nil"/>
        </w:pBdr>
        <w:jc w:val="both"/>
        <w:rPr>
          <w:bdr w:val="nil"/>
        </w:rPr>
      </w:pPr>
    </w:p>
    <w:p w:rsidR="00580F4E" w:rsidRPr="00B22F08" w:rsidRDefault="00A82039" w:rsidP="00B22F08">
      <w:pPr>
        <w:pStyle w:val="02-TtulodeNota"/>
        <w:pBdr>
          <w:top w:val="nil"/>
          <w:left w:val="nil"/>
          <w:bottom w:val="nil"/>
          <w:right w:val="nil"/>
          <w:between w:val="nil"/>
          <w:bar w:val="nil"/>
        </w:pBdr>
        <w:spacing w:after="0" w:line="276" w:lineRule="auto"/>
        <w:rPr>
          <w:color w:val="auto"/>
          <w:bdr w:val="nil"/>
        </w:rPr>
      </w:pPr>
      <w:r w:rsidRPr="003070FA">
        <w:rPr>
          <w:rFonts w:cs="Times New Roman"/>
          <w:color w:val="auto"/>
          <w:szCs w:val="20"/>
          <w:bdr w:val="nil"/>
        </w:rPr>
        <w:t>4</w:t>
      </w:r>
      <w:r>
        <w:rPr>
          <w:rFonts w:ascii="Calibri" w:hAnsi="Calibri" w:cs="Times New Roman"/>
          <w:szCs w:val="20"/>
          <w:bdr w:val="nil"/>
        </w:rPr>
        <w:t xml:space="preserve"> - </w:t>
      </w:r>
      <w:r w:rsidRPr="00B22F08">
        <w:rPr>
          <w:rFonts w:cs="Times New Roman"/>
          <w:color w:val="auto"/>
          <w:szCs w:val="20"/>
          <w:bdr w:val="nil"/>
        </w:rPr>
        <w:t>Caixa e Equivalentes de Caixa</w:t>
      </w:r>
    </w:p>
    <w:tbl>
      <w:tblPr>
        <w:tblW w:w="9705" w:type="dxa"/>
        <w:tblLayout w:type="fixed"/>
        <w:tblLook w:val="0600" w:firstRow="0" w:lastRow="0" w:firstColumn="0" w:lastColumn="0" w:noHBand="1" w:noVBand="1"/>
        <w:tblCaption w:val="NECXEQUIVCXCxEqCx"/>
      </w:tblPr>
      <w:tblGrid>
        <w:gridCol w:w="6405"/>
        <w:gridCol w:w="1650"/>
        <w:gridCol w:w="1650"/>
      </w:tblGrid>
      <w:tr w:rsidR="00566CE2">
        <w:trPr>
          <w:cantSplit/>
          <w:trHeight w:val="270"/>
        </w:trPr>
        <w:tc>
          <w:tcPr>
            <w:tcW w:w="6405" w:type="dxa"/>
            <w:tcBorders>
              <w:top w:val="nil"/>
              <w:left w:val="nil"/>
              <w:bottom w:val="single" w:sz="8" w:space="0" w:color="000000"/>
              <w:right w:val="nil"/>
              <w:tl2br w:val="nil"/>
              <w:tr2bl w:val="nil"/>
            </w:tcBorders>
            <w:shd w:val="clear" w:color="FFFFFF" w:fill="FFFFFF"/>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p>
        </w:tc>
        <w:tc>
          <w:tcPr>
            <w:tcW w:w="1650" w:type="dxa"/>
            <w:tcBorders>
              <w:top w:val="nil"/>
              <w:left w:val="nil"/>
              <w:bottom w:val="single" w:sz="8" w:space="0" w:color="000000"/>
              <w:right w:val="nil"/>
              <w:tl2br w:val="nil"/>
              <w:tr2bl w:val="nil"/>
            </w:tcBorders>
            <w:shd w:val="clear" w:color="FFFFFF" w:fill="FFFFFF"/>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c>
          <w:tcPr>
            <w:tcW w:w="1650" w:type="dxa"/>
            <w:tcBorders>
              <w:top w:val="nil"/>
              <w:left w:val="nil"/>
              <w:bottom w:val="single" w:sz="8" w:space="0" w:color="000000"/>
              <w:right w:val="nil"/>
              <w:tl2br w:val="nil"/>
              <w:tr2bl w:val="nil"/>
            </w:tcBorders>
            <w:shd w:val="clear" w:color="FFFFFF" w:fill="FFFFFF"/>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15"/>
        </w:trPr>
        <w:tc>
          <w:tcPr>
            <w:tcW w:w="6405" w:type="dxa"/>
            <w:tcBorders>
              <w:top w:val="single" w:sz="8" w:space="0" w:color="000000"/>
              <w:left w:val="nil"/>
              <w:bottom w:val="single" w:sz="8" w:space="0" w:color="000000"/>
              <w:right w:val="nil"/>
              <w:tl2br w:val="nil"/>
              <w:tr2bl w:val="nil"/>
            </w:tcBorders>
            <w:shd w:val="clear" w:color="FFFFFF" w:fill="FFFFFF"/>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p>
        </w:tc>
        <w:tc>
          <w:tcPr>
            <w:tcW w:w="1650"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31.12.2019</w:t>
            </w:r>
          </w:p>
        </w:tc>
        <w:tc>
          <w:tcPr>
            <w:tcW w:w="1650"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31.12.2018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FFFFFF" w:fill="FFFFFF"/>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Caixa e Equivalentes de Caixa</w:t>
            </w:r>
          </w:p>
        </w:tc>
        <w:tc>
          <w:tcPr>
            <w:tcW w:w="165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10.425</w:t>
            </w:r>
          </w:p>
        </w:tc>
        <w:tc>
          <w:tcPr>
            <w:tcW w:w="165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15.748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 xml:space="preserve">Fundos de investimento </w:t>
            </w:r>
            <w:r>
              <w:rPr>
                <w:rFonts w:eastAsia="Arial" w:cs="Arial"/>
                <w:color w:val="000000"/>
                <w:sz w:val="16"/>
                <w:szCs w:val="22"/>
                <w:bdr w:val="nil"/>
                <w:vertAlign w:val="superscript"/>
                <w:lang w:val="en-US" w:eastAsia="en-US"/>
              </w:rPr>
              <w:t>(1)</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10.424</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15.748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Caixa e depósitos bancários</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FFFFFF" w:fill="FFFFFF"/>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 xml:space="preserve">Total </w:t>
            </w:r>
          </w:p>
        </w:tc>
        <w:tc>
          <w:tcPr>
            <w:tcW w:w="165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10.425</w:t>
            </w:r>
          </w:p>
        </w:tc>
        <w:tc>
          <w:tcPr>
            <w:tcW w:w="165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15.748</w:t>
            </w:r>
          </w:p>
        </w:tc>
      </w:tr>
    </w:tbl>
    <w:p w:rsidR="00765C53" w:rsidRDefault="00A82039" w:rsidP="00BF1499">
      <w:pPr>
        <w:pStyle w:val="07-Legenda"/>
        <w:keepLines w:val="0"/>
        <w:numPr>
          <w:ilvl w:val="0"/>
          <w:numId w:val="2"/>
        </w:numPr>
        <w:pBdr>
          <w:top w:val="nil"/>
          <w:left w:val="nil"/>
          <w:bottom w:val="nil"/>
          <w:right w:val="nil"/>
          <w:between w:val="nil"/>
          <w:bar w:val="nil"/>
        </w:pBdr>
        <w:spacing w:before="0"/>
        <w:ind w:left="227" w:hanging="227"/>
        <w:rPr>
          <w:bdr w:val="nil"/>
        </w:rPr>
      </w:pPr>
      <w:r>
        <w:rPr>
          <w:bdr w:val="nil"/>
        </w:rPr>
        <w:t>Correspondem à aplicação financeira no fundo de investimento de mercado BB RF CP Automático Empresa, administrado pela BB DTVM, cuja carteira é composta por títulos públicos federais pré e pós-fixados e em operações compromissadas lastreadas em títulos públicos federais. Os fundos de investimento são mensurados a valor justo por meio do resultado, apresentam liquidez imediata e risco insignificante de mudança de valor justo.</w:t>
      </w:r>
    </w:p>
    <w:p w:rsidR="00EA3615" w:rsidRDefault="00A82039" w:rsidP="00E300F5">
      <w:pPr>
        <w:pStyle w:val="02-TtulodeNota"/>
        <w:pBdr>
          <w:top w:val="nil"/>
          <w:left w:val="nil"/>
          <w:bottom w:val="nil"/>
          <w:right w:val="nil"/>
          <w:between w:val="nil"/>
          <w:bar w:val="nil"/>
        </w:pBdr>
        <w:spacing w:before="120" w:line="276" w:lineRule="auto"/>
        <w:rPr>
          <w:rFonts w:cs="Times New Roman"/>
          <w:color w:val="auto"/>
          <w:bdr w:val="nil"/>
        </w:rPr>
      </w:pPr>
      <w:r w:rsidRPr="0011596B">
        <w:rPr>
          <w:rFonts w:cs="Times New Roman"/>
          <w:color w:val="auto"/>
          <w:szCs w:val="20"/>
          <w:bdr w:val="nil"/>
        </w:rPr>
        <w:lastRenderedPageBreak/>
        <w:t>5</w:t>
      </w:r>
      <w:r>
        <w:rPr>
          <w:rFonts w:cs="Times New Roman"/>
          <w:color w:val="auto"/>
          <w:szCs w:val="20"/>
          <w:bdr w:val="nil"/>
        </w:rPr>
        <w:t xml:space="preserve"> - </w:t>
      </w:r>
      <w:r w:rsidRPr="002A0A0D">
        <w:rPr>
          <w:rFonts w:cs="Times New Roman"/>
          <w:color w:val="auto"/>
          <w:szCs w:val="20"/>
          <w:bdr w:val="nil"/>
        </w:rPr>
        <w:t>INSTRUMENTOS FINANCEIROS</w:t>
      </w:r>
    </w:p>
    <w:p w:rsidR="00AD2B16" w:rsidRPr="002A0A0D" w:rsidRDefault="00AD2B16" w:rsidP="00E300F5">
      <w:pPr>
        <w:pStyle w:val="07-Legenda"/>
        <w:keepNext/>
        <w:keepLines w:val="0"/>
        <w:pBdr>
          <w:top w:val="nil"/>
          <w:left w:val="nil"/>
          <w:bottom w:val="nil"/>
          <w:right w:val="nil"/>
          <w:between w:val="nil"/>
          <w:bar w:val="nil"/>
        </w:pBdr>
        <w:spacing w:before="0"/>
        <w:rPr>
          <w:bdr w:val="nil"/>
        </w:rPr>
      </w:pPr>
    </w:p>
    <w:p w:rsidR="00F228E2" w:rsidRPr="00B11092" w:rsidRDefault="00A82039" w:rsidP="00E300F5">
      <w:pPr>
        <w:pStyle w:val="PargrafodaLista"/>
        <w:keepNext/>
        <w:numPr>
          <w:ilvl w:val="0"/>
          <w:numId w:val="3"/>
        </w:numPr>
        <w:pBdr>
          <w:top w:val="nil"/>
          <w:left w:val="nil"/>
          <w:bottom w:val="nil"/>
          <w:right w:val="nil"/>
          <w:between w:val="nil"/>
          <w:bar w:val="nil"/>
        </w:pBdr>
        <w:rPr>
          <w:rFonts w:ascii="Arial" w:hAnsi="Arial" w:cs="Arial"/>
          <w:b/>
          <w:sz w:val="18"/>
          <w:szCs w:val="18"/>
          <w:bdr w:val="nil"/>
        </w:rPr>
      </w:pPr>
      <w:r w:rsidRPr="00B11092">
        <w:rPr>
          <w:rFonts w:ascii="Arial" w:hAnsi="Arial" w:cs="Arial"/>
          <w:b/>
          <w:sz w:val="18"/>
          <w:szCs w:val="18"/>
          <w:bdr w:val="nil"/>
        </w:rPr>
        <w:t>Aplicações Financeiras</w:t>
      </w:r>
    </w:p>
    <w:tbl>
      <w:tblPr>
        <w:tblW w:w="9705" w:type="dxa"/>
        <w:tblLayout w:type="fixed"/>
        <w:tblLook w:val="0600" w:firstRow="0" w:lastRow="0" w:firstColumn="0" w:lastColumn="0" w:noHBand="1" w:noVBand="1"/>
        <w:tblCaption w:val="NEINSTRUMFINANCEIROSAplicFin"/>
      </w:tblPr>
      <w:tblGrid>
        <w:gridCol w:w="6405"/>
        <w:gridCol w:w="1650"/>
        <w:gridCol w:w="1650"/>
      </w:tblGrid>
      <w:tr w:rsidR="00566CE2">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1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c>
          <w:tcPr>
            <w:tcW w:w="1650" w:type="dxa"/>
            <w:tcBorders>
              <w:top w:val="single" w:sz="8" w:space="0" w:color="000000"/>
              <w:left w:val="nil"/>
              <w:bottom w:val="single" w:sz="8" w:space="0" w:color="000000"/>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Fundos de investimento </w:t>
            </w:r>
            <w:r>
              <w:rPr>
                <w:rFonts w:eastAsia="Arial" w:cs="Arial"/>
                <w:color w:val="000000"/>
                <w:sz w:val="16"/>
                <w:szCs w:val="22"/>
                <w:bdr w:val="nil"/>
                <w:vertAlign w:val="superscript"/>
                <w:lang w:eastAsia="en-US"/>
              </w:rPr>
              <w:t>(1)</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272.536</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179.958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272.536</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179.958</w:t>
            </w:r>
          </w:p>
        </w:tc>
      </w:tr>
    </w:tbl>
    <w:p w:rsidR="000A5EB0" w:rsidRPr="00D52029" w:rsidRDefault="00A82039" w:rsidP="00CE04AC">
      <w:pPr>
        <w:pStyle w:val="07-Legenda"/>
        <w:keepLines w:val="0"/>
        <w:numPr>
          <w:ilvl w:val="0"/>
          <w:numId w:val="4"/>
        </w:numPr>
        <w:pBdr>
          <w:top w:val="nil"/>
          <w:left w:val="nil"/>
          <w:bottom w:val="nil"/>
          <w:right w:val="nil"/>
          <w:between w:val="nil"/>
          <w:bar w:val="nil"/>
        </w:pBdr>
        <w:spacing w:before="0"/>
        <w:ind w:left="227" w:hanging="227"/>
        <w:rPr>
          <w:bdr w:val="nil"/>
        </w:rPr>
      </w:pPr>
      <w:r w:rsidRPr="00401BC6">
        <w:rPr>
          <w:bdr w:val="nil"/>
        </w:rPr>
        <w:t>Corresponde</w:t>
      </w:r>
      <w:r>
        <w:rPr>
          <w:bdr w:val="nil"/>
        </w:rPr>
        <w:t xml:space="preserve"> à aplicação financeira efetuada no fundo de investimento de mercado BB RF LP </w:t>
      </w:r>
      <w:r w:rsidRPr="00983C6E">
        <w:rPr>
          <w:i/>
          <w:bdr w:val="nil"/>
        </w:rPr>
        <w:t>Corporate</w:t>
      </w:r>
      <w:r>
        <w:rPr>
          <w:bdr w:val="nil"/>
        </w:rPr>
        <w:t>, administrado pela BB DTVM.</w:t>
      </w:r>
    </w:p>
    <w:p w:rsidR="00506C13" w:rsidRPr="00846468" w:rsidRDefault="00506C13" w:rsidP="0011494E">
      <w:pPr>
        <w:pStyle w:val="07-Legenda"/>
        <w:keepLines w:val="0"/>
        <w:pBdr>
          <w:top w:val="nil"/>
          <w:left w:val="nil"/>
          <w:bottom w:val="nil"/>
          <w:right w:val="nil"/>
          <w:between w:val="nil"/>
          <w:bar w:val="nil"/>
        </w:pBdr>
        <w:rPr>
          <w:bdr w:val="nil"/>
        </w:rPr>
      </w:pPr>
    </w:p>
    <w:p w:rsidR="00F228E2" w:rsidRPr="00177721" w:rsidRDefault="00A82039" w:rsidP="00E300F5">
      <w:pPr>
        <w:pStyle w:val="PargrafodaLista"/>
        <w:keepNext/>
        <w:numPr>
          <w:ilvl w:val="0"/>
          <w:numId w:val="3"/>
        </w:numPr>
        <w:pBdr>
          <w:top w:val="nil"/>
          <w:left w:val="nil"/>
          <w:bottom w:val="nil"/>
          <w:right w:val="nil"/>
          <w:between w:val="nil"/>
          <w:bar w:val="nil"/>
        </w:pBdr>
        <w:rPr>
          <w:rFonts w:ascii="Arial" w:hAnsi="Arial" w:cs="Arial"/>
          <w:b/>
          <w:sz w:val="18"/>
          <w:szCs w:val="18"/>
          <w:bdr w:val="nil"/>
        </w:rPr>
      </w:pPr>
      <w:r w:rsidRPr="00177721">
        <w:rPr>
          <w:rFonts w:ascii="Arial" w:hAnsi="Arial" w:cs="Arial"/>
          <w:b/>
          <w:sz w:val="18"/>
          <w:szCs w:val="18"/>
          <w:bdr w:val="nil"/>
        </w:rPr>
        <w:t>Rendas de Aplicações Financeiras</w:t>
      </w:r>
    </w:p>
    <w:tbl>
      <w:tblPr>
        <w:tblW w:w="9705" w:type="dxa"/>
        <w:tblLayout w:type="fixed"/>
        <w:tblLook w:val="0600" w:firstRow="0" w:lastRow="0" w:firstColumn="0" w:lastColumn="0" w:noHBand="1" w:noVBand="1"/>
        <w:tblCaption w:val="NEINSTRUMFINANCEIROSRenAplicFinan"/>
      </w:tblPr>
      <w:tblGrid>
        <w:gridCol w:w="5955"/>
        <w:gridCol w:w="450"/>
        <w:gridCol w:w="1650"/>
        <w:gridCol w:w="1650"/>
      </w:tblGrid>
      <w:tr w:rsidR="00566CE2">
        <w:trPr>
          <w:cantSplit/>
          <w:trHeight w:val="270"/>
        </w:trPr>
        <w:tc>
          <w:tcPr>
            <w:tcW w:w="5955"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4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15"/>
        </w:trPr>
        <w:tc>
          <w:tcPr>
            <w:tcW w:w="595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4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Nota</w:t>
            </w:r>
          </w:p>
        </w:tc>
        <w:tc>
          <w:tcPr>
            <w:tcW w:w="1650" w:type="dxa"/>
            <w:tcBorders>
              <w:top w:val="single" w:sz="8" w:space="0" w:color="000000"/>
              <w:left w:val="nil"/>
              <w:bottom w:val="single" w:sz="8" w:space="0" w:color="000000"/>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c>
          <w:tcPr>
            <w:tcW w:w="1650" w:type="dxa"/>
            <w:tcBorders>
              <w:top w:val="single" w:sz="8" w:space="0" w:color="000000"/>
              <w:left w:val="nil"/>
              <w:bottom w:val="single" w:sz="8" w:space="0" w:color="000000"/>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trPr>
        <w:tc>
          <w:tcPr>
            <w:tcW w:w="5955"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Rendas de aplicações em fundos de investimento</w:t>
            </w:r>
          </w:p>
        </w:tc>
        <w:tc>
          <w:tcPr>
            <w:tcW w:w="450"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14.a</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9.036</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15.744</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55" w:type="dxa"/>
            <w:tcBorders>
              <w:top w:val="nil"/>
              <w:left w:val="nil"/>
              <w:bottom w:val="nil"/>
              <w:right w:val="nil"/>
              <w:tl2br w:val="nil"/>
              <w:tr2bl w:val="nil"/>
            </w:tcBorders>
            <w:shd w:val="clear" w:color="auto" w:fill="auto"/>
            <w:tcMar>
              <w:left w:w="22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BB RF LP </w:t>
            </w:r>
            <w:r>
              <w:rPr>
                <w:rFonts w:eastAsia="Arial" w:cs="Arial"/>
                <w:i/>
                <w:color w:val="000000"/>
                <w:sz w:val="16"/>
                <w:szCs w:val="22"/>
                <w:bdr w:val="nil"/>
                <w:lang w:eastAsia="en-US"/>
              </w:rPr>
              <w:t>Corporate</w:t>
            </w:r>
          </w:p>
        </w:tc>
        <w:tc>
          <w:tcPr>
            <w:tcW w:w="450" w:type="dxa"/>
            <w:tcBorders>
              <w:top w:val="nil"/>
              <w:left w:val="nil"/>
              <w:bottom w:val="nil"/>
              <w:right w:val="nil"/>
              <w:tl2br w:val="nil"/>
              <w:tr2bl w:val="nil"/>
            </w:tcBorders>
            <w:shd w:val="clear" w:color="auto" w:fill="auto"/>
            <w:tcMar>
              <w:left w:w="18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8.717</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15.398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55" w:type="dxa"/>
            <w:tcBorders>
              <w:top w:val="nil"/>
              <w:left w:val="nil"/>
              <w:bottom w:val="nil"/>
              <w:right w:val="nil"/>
              <w:tl2br w:val="nil"/>
              <w:tr2bl w:val="nil"/>
            </w:tcBorders>
            <w:shd w:val="clear" w:color="auto" w:fill="auto"/>
            <w:tcMar>
              <w:left w:w="22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BB RF CP Automático Empresa</w:t>
            </w:r>
          </w:p>
        </w:tc>
        <w:tc>
          <w:tcPr>
            <w:tcW w:w="450" w:type="dxa"/>
            <w:tcBorders>
              <w:top w:val="nil"/>
              <w:left w:val="nil"/>
              <w:bottom w:val="nil"/>
              <w:right w:val="nil"/>
              <w:tl2br w:val="nil"/>
              <w:tr2bl w:val="nil"/>
            </w:tcBorders>
            <w:shd w:val="clear" w:color="auto" w:fill="auto"/>
            <w:tcMar>
              <w:left w:w="18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319</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346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trPr>
        <w:tc>
          <w:tcPr>
            <w:tcW w:w="595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4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9.036</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15.744</w:t>
            </w:r>
          </w:p>
        </w:tc>
      </w:tr>
    </w:tbl>
    <w:p w:rsidR="00253F3C" w:rsidRDefault="00253F3C" w:rsidP="00253F3C">
      <w:pPr>
        <w:pStyle w:val="07-Legenda"/>
        <w:keepLines w:val="0"/>
        <w:pBdr>
          <w:top w:val="nil"/>
          <w:left w:val="nil"/>
          <w:bottom w:val="nil"/>
          <w:right w:val="nil"/>
          <w:between w:val="nil"/>
          <w:bar w:val="nil"/>
        </w:pBdr>
        <w:rPr>
          <w:bdr w:val="nil"/>
        </w:rPr>
      </w:pPr>
    </w:p>
    <w:p w:rsidR="003E074D" w:rsidRPr="00177721" w:rsidRDefault="00A82039" w:rsidP="00E300F5">
      <w:pPr>
        <w:pStyle w:val="PargrafodaLista"/>
        <w:keepNext/>
        <w:numPr>
          <w:ilvl w:val="0"/>
          <w:numId w:val="3"/>
        </w:numPr>
        <w:pBdr>
          <w:top w:val="nil"/>
          <w:left w:val="nil"/>
          <w:bottom w:val="nil"/>
          <w:right w:val="nil"/>
          <w:between w:val="nil"/>
          <w:bar w:val="nil"/>
        </w:pBdr>
        <w:rPr>
          <w:rFonts w:ascii="Arial" w:hAnsi="Arial" w:cs="Arial"/>
          <w:b/>
          <w:sz w:val="18"/>
          <w:szCs w:val="18"/>
          <w:bdr w:val="nil"/>
        </w:rPr>
      </w:pPr>
      <w:r w:rsidRPr="00177721">
        <w:rPr>
          <w:rFonts w:ascii="Arial" w:hAnsi="Arial" w:cs="Arial"/>
          <w:b/>
          <w:sz w:val="18"/>
          <w:szCs w:val="18"/>
          <w:bdr w:val="nil"/>
        </w:rPr>
        <w:t xml:space="preserve">Determinação do Valor Justo dos Instrumentos Financeiros </w:t>
      </w:r>
    </w:p>
    <w:p w:rsidR="003E074D" w:rsidRPr="003E074D" w:rsidRDefault="00A82039" w:rsidP="004836F2">
      <w:pPr>
        <w:pStyle w:val="050-TextoPadro"/>
        <w:pBdr>
          <w:top w:val="nil"/>
          <w:left w:val="nil"/>
          <w:bottom w:val="nil"/>
          <w:right w:val="nil"/>
          <w:between w:val="nil"/>
          <w:bar w:val="nil"/>
        </w:pBdr>
        <w:rPr>
          <w:bdr w:val="nil"/>
          <w:lang w:val="pt-BR"/>
        </w:rPr>
      </w:pPr>
      <w:r>
        <w:rPr>
          <w:u w:val="single"/>
          <w:bdr w:val="nil"/>
          <w:lang w:val="pt-BR"/>
        </w:rPr>
        <w:t>Fundos de Investimento</w:t>
      </w:r>
      <w:r w:rsidRPr="003E074D">
        <w:rPr>
          <w:bdr w:val="nil"/>
          <w:lang w:val="pt-BR"/>
        </w:rPr>
        <w:t xml:space="preserve">: </w:t>
      </w:r>
      <w:r>
        <w:rPr>
          <w:bdr w:val="nil"/>
          <w:lang w:val="pt-BR"/>
        </w:rPr>
        <w:t>são c</w:t>
      </w:r>
      <w:r w:rsidRPr="003E074D">
        <w:rPr>
          <w:bdr w:val="nil"/>
          <w:lang w:val="pt-BR"/>
        </w:rPr>
        <w:t xml:space="preserve">ontabilizados pelo valor de mercado, </w:t>
      </w:r>
      <w:r>
        <w:rPr>
          <w:bdr w:val="nil"/>
          <w:lang w:val="pt-BR"/>
        </w:rPr>
        <w:t>que é representado pelo valor justo da cota, divulgado pelo Administrador dos fundos.</w:t>
      </w:r>
    </w:p>
    <w:p w:rsidR="003E074D" w:rsidRPr="003E074D" w:rsidRDefault="00A82039" w:rsidP="00E300F5">
      <w:pPr>
        <w:pStyle w:val="040-SubttuloEspecial"/>
        <w:numPr>
          <w:ilvl w:val="4"/>
          <w:numId w:val="6"/>
        </w:numPr>
        <w:pBdr>
          <w:top w:val="nil"/>
          <w:left w:val="nil"/>
          <w:bottom w:val="nil"/>
          <w:right w:val="nil"/>
          <w:between w:val="nil"/>
          <w:bar w:val="nil"/>
        </w:pBdr>
        <w:spacing w:line="276" w:lineRule="auto"/>
        <w:outlineLvl w:val="9"/>
        <w:rPr>
          <w:sz w:val="18"/>
          <w:bdr w:val="nil"/>
          <w:lang w:val="pt-BR"/>
        </w:rPr>
      </w:pPr>
      <w:r w:rsidRPr="003E074D">
        <w:rPr>
          <w:sz w:val="18"/>
          <w:bdr w:val="nil"/>
          <w:lang w:val="pt-BR"/>
        </w:rPr>
        <w:t>Níveis de Informação Referentes a Ativos Mensurados a Valor Justo no Balanço</w:t>
      </w:r>
    </w:p>
    <w:p w:rsidR="003E074D" w:rsidRPr="003E074D" w:rsidRDefault="00A82039" w:rsidP="003E074D">
      <w:pPr>
        <w:pStyle w:val="050-TextoPadro"/>
        <w:pBdr>
          <w:top w:val="nil"/>
          <w:left w:val="nil"/>
          <w:bottom w:val="nil"/>
          <w:right w:val="nil"/>
          <w:between w:val="nil"/>
          <w:bar w:val="nil"/>
        </w:pBdr>
        <w:rPr>
          <w:bdr w:val="nil"/>
          <w:lang w:val="pt-BR"/>
        </w:rPr>
      </w:pPr>
      <w:r w:rsidRPr="003E074D">
        <w:rPr>
          <w:bdr w:val="nil"/>
          <w:lang w:val="pt-BR"/>
        </w:rPr>
        <w:t>Conforme os níveis de informação na mensuração ao valor justo, as técni</w:t>
      </w:r>
      <w:r>
        <w:rPr>
          <w:bdr w:val="nil"/>
          <w:lang w:val="pt-BR"/>
        </w:rPr>
        <w:t>cas de avaliação utilizadas pela</w:t>
      </w:r>
      <w:r w:rsidRPr="003E074D">
        <w:rPr>
          <w:bdr w:val="nil"/>
          <w:lang w:val="pt-BR"/>
        </w:rPr>
        <w:t xml:space="preserve"> </w:t>
      </w:r>
      <w:r>
        <w:rPr>
          <w:bdr w:val="nil"/>
          <w:lang w:val="pt-BR"/>
        </w:rPr>
        <w:t>Ativos S.A.</w:t>
      </w:r>
      <w:r w:rsidRPr="003E074D">
        <w:rPr>
          <w:bdr w:val="nil"/>
          <w:lang w:val="pt-BR"/>
        </w:rPr>
        <w:t xml:space="preserve"> são as seguintes: </w:t>
      </w:r>
    </w:p>
    <w:p w:rsidR="003E074D" w:rsidRPr="003E074D" w:rsidRDefault="00A82039" w:rsidP="003E074D">
      <w:pPr>
        <w:pStyle w:val="050-TextoPadro"/>
        <w:pBdr>
          <w:top w:val="nil"/>
          <w:left w:val="nil"/>
          <w:bottom w:val="nil"/>
          <w:right w:val="nil"/>
          <w:between w:val="nil"/>
          <w:bar w:val="nil"/>
        </w:pBdr>
        <w:rPr>
          <w:bdr w:val="nil"/>
          <w:lang w:val="pt-BR"/>
        </w:rPr>
      </w:pPr>
      <w:r w:rsidRPr="003E074D">
        <w:rPr>
          <w:u w:val="single"/>
          <w:bdr w:val="nil"/>
          <w:lang w:val="pt-BR"/>
        </w:rPr>
        <w:t>Nível 1</w:t>
      </w:r>
      <w:r w:rsidRPr="003E074D">
        <w:rPr>
          <w:bdr w:val="nil"/>
          <w:lang w:val="pt-BR"/>
        </w:rPr>
        <w:t xml:space="preserve"> – são usados preços cotados em mercados ativos para instrumentos financeiros idênticos. Um instrumento financeiro é considerado como cotado em um mercado ativo se os preços cotados estiverem pronta e regularmente disponíveis, e se esses preços representarem transações de mercado reais e que ocorrem regularmente numa base em que não exista relacionamento entre as partes.</w:t>
      </w:r>
    </w:p>
    <w:p w:rsidR="003E074D" w:rsidRPr="003E074D" w:rsidRDefault="00A82039" w:rsidP="003E074D">
      <w:pPr>
        <w:pStyle w:val="050-TextoPadro"/>
        <w:pBdr>
          <w:top w:val="nil"/>
          <w:left w:val="nil"/>
          <w:bottom w:val="nil"/>
          <w:right w:val="nil"/>
          <w:between w:val="nil"/>
          <w:bar w:val="nil"/>
        </w:pBdr>
        <w:rPr>
          <w:bdr w:val="nil"/>
          <w:lang w:val="pt-BR"/>
        </w:rPr>
      </w:pPr>
      <w:r w:rsidRPr="003E074D">
        <w:rPr>
          <w:u w:val="single"/>
          <w:bdr w:val="nil"/>
          <w:lang w:val="pt-BR"/>
        </w:rPr>
        <w:t>Nível 2</w:t>
      </w:r>
      <w:r w:rsidRPr="003E074D">
        <w:rPr>
          <w:bdr w:val="nil"/>
          <w:lang w:val="pt-BR"/>
        </w:rPr>
        <w:t xml:space="preserve"> – são usadas outras informações disponíveis, exceto aquelas do Nível 1, onde os preços são cotados em mercados não ativos ou para ativos e passivos similares, ou são usadas outras informações que estão disponíveis ou que podem ser corroboradas pelas informações observadas no mercado para suportar a avaliação dos ativos e passivos. </w:t>
      </w:r>
    </w:p>
    <w:p w:rsidR="003E074D" w:rsidRPr="003E074D" w:rsidRDefault="00A82039" w:rsidP="003E074D">
      <w:pPr>
        <w:pStyle w:val="050-TextoPadro"/>
        <w:pBdr>
          <w:top w:val="nil"/>
          <w:left w:val="nil"/>
          <w:bottom w:val="nil"/>
          <w:right w:val="nil"/>
          <w:between w:val="nil"/>
          <w:bar w:val="nil"/>
        </w:pBdr>
        <w:rPr>
          <w:bdr w:val="nil"/>
          <w:lang w:val="pt-BR"/>
        </w:rPr>
      </w:pPr>
      <w:r w:rsidRPr="003E074D">
        <w:rPr>
          <w:u w:val="single"/>
          <w:bdr w:val="nil"/>
          <w:lang w:val="pt-BR"/>
        </w:rPr>
        <w:t>Nível 3</w:t>
      </w:r>
      <w:r w:rsidRPr="003E074D">
        <w:rPr>
          <w:bdr w:val="nil"/>
          <w:lang w:val="pt-BR"/>
        </w:rPr>
        <w:t xml:space="preserve"> – são usadas informações na definição do valor justo que não estão disponíveis no mercado. Se o mercado para um instrumento financeiro não estiver </w:t>
      </w:r>
      <w:r>
        <w:rPr>
          <w:bdr w:val="nil"/>
          <w:lang w:val="pt-BR"/>
        </w:rPr>
        <w:t>ativo</w:t>
      </w:r>
      <w:r w:rsidRPr="003E074D">
        <w:rPr>
          <w:bdr w:val="nil"/>
          <w:lang w:val="pt-BR"/>
        </w:rPr>
        <w:t xml:space="preserve">, </w:t>
      </w:r>
      <w:r>
        <w:rPr>
          <w:bdr w:val="nil"/>
          <w:lang w:val="pt-BR"/>
        </w:rPr>
        <w:t>a</w:t>
      </w:r>
      <w:r w:rsidRPr="003E074D">
        <w:rPr>
          <w:bdr w:val="nil"/>
          <w:lang w:val="pt-BR"/>
        </w:rPr>
        <w:t xml:space="preserve"> </w:t>
      </w:r>
      <w:r>
        <w:rPr>
          <w:bdr w:val="nil"/>
          <w:lang w:val="pt-BR"/>
        </w:rPr>
        <w:t>empresa</w:t>
      </w:r>
      <w:r w:rsidRPr="003E074D">
        <w:rPr>
          <w:bdr w:val="nil"/>
          <w:lang w:val="pt-BR"/>
        </w:rPr>
        <w:t xml:space="preserve"> estabelece o valor justo usando uma técnica de valorização que considera dados internos, mas que seja consistente com as metodologias econômicas aceitas para a precificação de instrumentos financeiros.</w:t>
      </w:r>
    </w:p>
    <w:p w:rsidR="00EF187A" w:rsidRPr="00694806" w:rsidRDefault="00A82039" w:rsidP="00E300F5">
      <w:pPr>
        <w:pStyle w:val="040-SubttuloEspecial"/>
        <w:numPr>
          <w:ilvl w:val="4"/>
          <w:numId w:val="6"/>
        </w:numPr>
        <w:pBdr>
          <w:top w:val="nil"/>
          <w:left w:val="nil"/>
          <w:bottom w:val="nil"/>
          <w:right w:val="nil"/>
          <w:between w:val="nil"/>
          <w:bar w:val="nil"/>
        </w:pBdr>
        <w:spacing w:line="276" w:lineRule="auto"/>
        <w:outlineLvl w:val="9"/>
        <w:rPr>
          <w:sz w:val="18"/>
          <w:bdr w:val="nil"/>
          <w:lang w:val="pt-BR"/>
        </w:rPr>
      </w:pPr>
      <w:r w:rsidRPr="00694806">
        <w:rPr>
          <w:sz w:val="18"/>
          <w:bdr w:val="nil"/>
          <w:lang w:val="pt-BR"/>
        </w:rPr>
        <w:t>Ativos Financeiros Mensurados a Valor Justo no Balanço</w:t>
      </w:r>
    </w:p>
    <w:tbl>
      <w:tblPr>
        <w:tblW w:w="9750" w:type="dxa"/>
        <w:tblLayout w:type="fixed"/>
        <w:tblLook w:val="0600" w:firstRow="0" w:lastRow="0" w:firstColumn="0" w:lastColumn="0" w:noHBand="1" w:noVBand="1"/>
        <w:tblCaption w:val="NEINSTRUMFINANCEIROSAtivosFinanMens"/>
      </w:tblPr>
      <w:tblGrid>
        <w:gridCol w:w="4815"/>
        <w:gridCol w:w="1245"/>
        <w:gridCol w:w="1155"/>
        <w:gridCol w:w="90"/>
        <w:gridCol w:w="1245"/>
        <w:gridCol w:w="1200"/>
      </w:tblGrid>
      <w:tr w:rsidR="00566CE2">
        <w:trPr>
          <w:cantSplit/>
          <w:trHeight w:val="270"/>
        </w:trPr>
        <w:tc>
          <w:tcPr>
            <w:tcW w:w="4815" w:type="dxa"/>
            <w:tcBorders>
              <w:top w:val="single" w:sz="8" w:space="0" w:color="000000"/>
              <w:left w:val="nil"/>
              <w:bottom w:val="nil"/>
              <w:right w:val="nil"/>
              <w:tl2br w:val="nil"/>
              <w:tr2bl w:val="nil"/>
            </w:tcBorders>
            <w:shd w:val="clear" w:color="FFFFFF" w:fill="FFFFFF"/>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2400" w:type="dxa"/>
            <w:gridSpan w:val="2"/>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31.12.2019</w:t>
            </w:r>
          </w:p>
        </w:tc>
        <w:tc>
          <w:tcPr>
            <w:tcW w:w="90" w:type="dxa"/>
            <w:tcBorders>
              <w:top w:val="single" w:sz="8" w:space="0" w:color="000000"/>
              <w:left w:val="nil"/>
              <w:bottom w:val="nil"/>
              <w:right w:val="nil"/>
              <w:tl2br w:val="nil"/>
              <w:tr2bl w:val="nil"/>
            </w:tcBorders>
            <w:shd w:val="clear" w:color="FFFFFF" w:fill="FFFFFF"/>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2445" w:type="dxa"/>
            <w:gridSpan w:val="2"/>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31.12.2018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815" w:type="dxa"/>
            <w:tcBorders>
              <w:top w:val="nil"/>
              <w:left w:val="nil"/>
              <w:bottom w:val="single" w:sz="8" w:space="0" w:color="000000"/>
              <w:right w:val="nil"/>
              <w:tl2br w:val="nil"/>
              <w:tr2bl w:val="nil"/>
            </w:tcBorders>
            <w:shd w:val="clear" w:color="FFFFFF" w:fill="FFFFFF"/>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245"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Saldo Contábil</w:t>
            </w:r>
          </w:p>
        </w:tc>
        <w:tc>
          <w:tcPr>
            <w:tcW w:w="1155"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Nível 2</w:t>
            </w:r>
          </w:p>
        </w:tc>
        <w:tc>
          <w:tcPr>
            <w:tcW w:w="90" w:type="dxa"/>
            <w:tcBorders>
              <w:top w:val="nil"/>
              <w:left w:val="nil"/>
              <w:bottom w:val="single" w:sz="8" w:space="0" w:color="000000"/>
              <w:right w:val="nil"/>
              <w:tl2br w:val="nil"/>
              <w:tr2bl w:val="nil"/>
            </w:tcBorders>
            <w:shd w:val="clear" w:color="FFFFFF" w:fill="FFFFFF"/>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245"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Saldo Contábil</w:t>
            </w:r>
          </w:p>
        </w:tc>
        <w:tc>
          <w:tcPr>
            <w:tcW w:w="1200"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Nível 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815" w:type="dxa"/>
            <w:tcBorders>
              <w:top w:val="single" w:sz="8" w:space="0" w:color="000000"/>
              <w:left w:val="nil"/>
              <w:bottom w:val="nil"/>
              <w:right w:val="nil"/>
              <w:tl2br w:val="nil"/>
              <w:tr2bl w:val="nil"/>
            </w:tcBorders>
            <w:shd w:val="clear" w:color="FFFFFF" w:fill="FFFFFF"/>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Ativo</w:t>
            </w:r>
          </w:p>
        </w:tc>
        <w:tc>
          <w:tcPr>
            <w:tcW w:w="1245"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282.960</w:t>
            </w:r>
          </w:p>
        </w:tc>
        <w:tc>
          <w:tcPr>
            <w:tcW w:w="1155"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66CE2" w:rsidRDefault="00A82039" w:rsidP="00B5311F">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w:t>
            </w:r>
            <w:r w:rsidR="00B5311F">
              <w:rPr>
                <w:rFonts w:eastAsia="Arial" w:cs="Arial"/>
                <w:b/>
                <w:color w:val="000000"/>
                <w:sz w:val="16"/>
                <w:szCs w:val="22"/>
                <w:bdr w:val="nil"/>
                <w:lang w:eastAsia="en-US"/>
              </w:rPr>
              <w:t>82.960</w:t>
            </w:r>
          </w:p>
        </w:tc>
        <w:tc>
          <w:tcPr>
            <w:tcW w:w="90" w:type="dxa"/>
            <w:tcBorders>
              <w:top w:val="single" w:sz="8" w:space="0" w:color="000000"/>
              <w:left w:val="nil"/>
              <w:bottom w:val="nil"/>
              <w:right w:val="nil"/>
              <w:tl2br w:val="nil"/>
              <w:tr2bl w:val="nil"/>
            </w:tcBorders>
            <w:shd w:val="clear" w:color="FFFFFF" w:fill="FFFFFF"/>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245"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195.706</w:t>
            </w:r>
          </w:p>
        </w:tc>
        <w:tc>
          <w:tcPr>
            <w:tcW w:w="1200"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195.706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815" w:type="dxa"/>
            <w:tcBorders>
              <w:top w:val="nil"/>
              <w:left w:val="nil"/>
              <w:bottom w:val="nil"/>
              <w:right w:val="nil"/>
              <w:tl2br w:val="nil"/>
              <w:tr2bl w:val="nil"/>
            </w:tcBorders>
            <w:shd w:val="clear" w:color="FFFFFF" w:fill="FFFFFF"/>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BB RF LP </w:t>
            </w:r>
            <w:r>
              <w:rPr>
                <w:rFonts w:eastAsia="Arial" w:cs="Arial"/>
                <w:i/>
                <w:color w:val="000000"/>
                <w:sz w:val="16"/>
                <w:szCs w:val="22"/>
                <w:bdr w:val="nil"/>
                <w:lang w:eastAsia="en-US"/>
              </w:rPr>
              <w:t>Corporate</w:t>
            </w:r>
            <w:r>
              <w:rPr>
                <w:rFonts w:eastAsia="Arial" w:cs="Arial"/>
                <w:color w:val="000000"/>
                <w:sz w:val="16"/>
                <w:szCs w:val="22"/>
                <w:bdr w:val="nil"/>
                <w:vertAlign w:val="superscript"/>
                <w:lang w:eastAsia="en-US"/>
              </w:rPr>
              <w:t>(1)</w:t>
            </w:r>
          </w:p>
        </w:tc>
        <w:tc>
          <w:tcPr>
            <w:tcW w:w="1245" w:type="dxa"/>
            <w:tcBorders>
              <w:top w:val="nil"/>
              <w:left w:val="nil"/>
              <w:bottom w:val="nil"/>
              <w:right w:val="nil"/>
              <w:tl2br w:val="nil"/>
              <w:tr2bl w:val="nil"/>
            </w:tcBorders>
            <w:shd w:val="clear" w:color="FFFFFF" w:fill="FFFFFF"/>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272.536</w:t>
            </w:r>
          </w:p>
        </w:tc>
        <w:tc>
          <w:tcPr>
            <w:tcW w:w="1155" w:type="dxa"/>
            <w:tcBorders>
              <w:top w:val="nil"/>
              <w:left w:val="nil"/>
              <w:bottom w:val="nil"/>
              <w:right w:val="nil"/>
              <w:tl2br w:val="nil"/>
              <w:tr2bl w:val="nil"/>
            </w:tcBorders>
            <w:shd w:val="clear" w:color="FFFFFF" w:fill="FFFFFF"/>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272.536</w:t>
            </w:r>
          </w:p>
        </w:tc>
        <w:tc>
          <w:tcPr>
            <w:tcW w:w="90" w:type="dxa"/>
            <w:tcBorders>
              <w:top w:val="nil"/>
              <w:left w:val="nil"/>
              <w:bottom w:val="nil"/>
              <w:right w:val="nil"/>
              <w:tl2br w:val="nil"/>
              <w:tr2bl w:val="nil"/>
            </w:tcBorders>
            <w:shd w:val="clear" w:color="FFFFFF" w:fill="FFFFFF"/>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245" w:type="dxa"/>
            <w:tcBorders>
              <w:top w:val="nil"/>
              <w:left w:val="nil"/>
              <w:bottom w:val="nil"/>
              <w:right w:val="nil"/>
              <w:tl2br w:val="nil"/>
              <w:tr2bl w:val="nil"/>
            </w:tcBorders>
            <w:shd w:val="clear" w:color="FFFFFF" w:fill="FFFFFF"/>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179.958</w:t>
            </w:r>
          </w:p>
        </w:tc>
        <w:tc>
          <w:tcPr>
            <w:tcW w:w="1200" w:type="dxa"/>
            <w:tcBorders>
              <w:top w:val="nil"/>
              <w:left w:val="nil"/>
              <w:bottom w:val="nil"/>
              <w:right w:val="nil"/>
              <w:tl2br w:val="nil"/>
              <w:tr2bl w:val="nil"/>
            </w:tcBorders>
            <w:shd w:val="clear" w:color="FFFFFF" w:fill="FFFFFF"/>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179.958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815" w:type="dxa"/>
            <w:tcBorders>
              <w:top w:val="nil"/>
              <w:left w:val="nil"/>
              <w:bottom w:val="single" w:sz="8" w:space="0" w:color="000000"/>
              <w:right w:val="nil"/>
              <w:tl2br w:val="nil"/>
              <w:tr2bl w:val="nil"/>
            </w:tcBorders>
            <w:shd w:val="clear" w:color="FFFFFF" w:fill="FFFFFF"/>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BB RF CP Automático Empresa</w:t>
            </w:r>
            <w:r>
              <w:rPr>
                <w:rFonts w:eastAsia="Arial" w:cs="Arial"/>
                <w:color w:val="000000"/>
                <w:sz w:val="16"/>
                <w:szCs w:val="22"/>
                <w:bdr w:val="nil"/>
                <w:vertAlign w:val="superscript"/>
                <w:lang w:eastAsia="en-US"/>
              </w:rPr>
              <w:t>(1)</w:t>
            </w:r>
          </w:p>
        </w:tc>
        <w:tc>
          <w:tcPr>
            <w:tcW w:w="1245" w:type="dxa"/>
            <w:tcBorders>
              <w:top w:val="nil"/>
              <w:left w:val="nil"/>
              <w:bottom w:val="single" w:sz="8" w:space="0" w:color="000000"/>
              <w:right w:val="nil"/>
              <w:tl2br w:val="nil"/>
              <w:tr2bl w:val="nil"/>
            </w:tcBorders>
            <w:shd w:val="clear" w:color="FFFFFF" w:fill="FFFFFF"/>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10.424</w:t>
            </w:r>
          </w:p>
        </w:tc>
        <w:tc>
          <w:tcPr>
            <w:tcW w:w="1155" w:type="dxa"/>
            <w:tcBorders>
              <w:top w:val="nil"/>
              <w:left w:val="nil"/>
              <w:bottom w:val="single" w:sz="8" w:space="0" w:color="000000"/>
              <w:right w:val="nil"/>
              <w:tl2br w:val="nil"/>
              <w:tr2bl w:val="nil"/>
            </w:tcBorders>
            <w:shd w:val="clear" w:color="FFFFFF" w:fill="FFFFFF"/>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10.424</w:t>
            </w:r>
          </w:p>
        </w:tc>
        <w:tc>
          <w:tcPr>
            <w:tcW w:w="90" w:type="dxa"/>
            <w:tcBorders>
              <w:top w:val="nil"/>
              <w:left w:val="nil"/>
              <w:bottom w:val="single" w:sz="8" w:space="0" w:color="000000"/>
              <w:right w:val="nil"/>
              <w:tl2br w:val="nil"/>
              <w:tr2bl w:val="nil"/>
            </w:tcBorders>
            <w:shd w:val="clear" w:color="FFFFFF" w:fill="FFFFFF"/>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245" w:type="dxa"/>
            <w:tcBorders>
              <w:top w:val="nil"/>
              <w:left w:val="nil"/>
              <w:bottom w:val="single" w:sz="8" w:space="0" w:color="000000"/>
              <w:right w:val="nil"/>
              <w:tl2br w:val="nil"/>
              <w:tr2bl w:val="nil"/>
            </w:tcBorders>
            <w:shd w:val="clear" w:color="FFFFFF" w:fill="FFFFFF"/>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15.748</w:t>
            </w:r>
          </w:p>
        </w:tc>
        <w:tc>
          <w:tcPr>
            <w:tcW w:w="1200" w:type="dxa"/>
            <w:tcBorders>
              <w:top w:val="nil"/>
              <w:left w:val="nil"/>
              <w:bottom w:val="single" w:sz="8" w:space="0" w:color="000000"/>
              <w:right w:val="nil"/>
              <w:tl2br w:val="nil"/>
              <w:tr2bl w:val="nil"/>
            </w:tcBorders>
            <w:shd w:val="clear" w:color="FFFFFF" w:fill="FFFFFF"/>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15.748</w:t>
            </w:r>
          </w:p>
        </w:tc>
      </w:tr>
    </w:tbl>
    <w:p w:rsidR="003E074D" w:rsidRDefault="00A82039" w:rsidP="004B1305">
      <w:pPr>
        <w:pStyle w:val="07-Legenda"/>
        <w:numPr>
          <w:ilvl w:val="0"/>
          <w:numId w:val="7"/>
        </w:numPr>
        <w:pBdr>
          <w:top w:val="nil"/>
          <w:left w:val="nil"/>
          <w:bottom w:val="nil"/>
          <w:right w:val="nil"/>
          <w:between w:val="nil"/>
          <w:bar w:val="nil"/>
        </w:pBdr>
        <w:rPr>
          <w:bdr w:val="nil"/>
        </w:rPr>
      </w:pPr>
      <w:r>
        <w:rPr>
          <w:bdr w:val="nil"/>
        </w:rPr>
        <w:t>O valor do custo atualizado dos fundos de investimento equivale ao valor justo.</w:t>
      </w:r>
    </w:p>
    <w:p w:rsidR="004B1305" w:rsidRPr="004B1305" w:rsidRDefault="004B1305" w:rsidP="004B1305">
      <w:pPr>
        <w:pStyle w:val="07-Legenda"/>
        <w:pBdr>
          <w:top w:val="nil"/>
          <w:left w:val="nil"/>
          <w:bottom w:val="nil"/>
          <w:right w:val="nil"/>
          <w:between w:val="nil"/>
          <w:bar w:val="nil"/>
        </w:pBdr>
        <w:ind w:left="360" w:firstLine="0"/>
        <w:rPr>
          <w:bdr w:val="nil"/>
        </w:rPr>
      </w:pPr>
    </w:p>
    <w:p w:rsidR="00EA3615" w:rsidRPr="00177721" w:rsidRDefault="00A82039" w:rsidP="00E300F5">
      <w:pPr>
        <w:pStyle w:val="PargrafodaLista"/>
        <w:keepNext/>
        <w:numPr>
          <w:ilvl w:val="0"/>
          <w:numId w:val="3"/>
        </w:numPr>
        <w:pBdr>
          <w:top w:val="nil"/>
          <w:left w:val="nil"/>
          <w:bottom w:val="nil"/>
          <w:right w:val="nil"/>
          <w:between w:val="nil"/>
          <w:bar w:val="nil"/>
        </w:pBdr>
        <w:rPr>
          <w:rFonts w:ascii="Arial" w:hAnsi="Arial" w:cs="Arial"/>
          <w:b/>
          <w:sz w:val="18"/>
          <w:szCs w:val="18"/>
          <w:bdr w:val="nil"/>
        </w:rPr>
      </w:pPr>
      <w:r w:rsidRPr="00177721">
        <w:rPr>
          <w:rFonts w:ascii="Arial" w:hAnsi="Arial" w:cs="Arial"/>
          <w:b/>
          <w:sz w:val="18"/>
          <w:szCs w:val="18"/>
          <w:bdr w:val="nil"/>
        </w:rPr>
        <w:lastRenderedPageBreak/>
        <w:t>Créditos Adquiridos</w:t>
      </w:r>
    </w:p>
    <w:tbl>
      <w:tblPr>
        <w:tblW w:w="9705" w:type="dxa"/>
        <w:tblLayout w:type="fixed"/>
        <w:tblLook w:val="0600" w:firstRow="0" w:lastRow="0" w:firstColumn="0" w:lastColumn="0" w:noHBand="1" w:noVBand="1"/>
        <w:tblCaption w:val="NEINSTRUMFINANCEIROSCredAdqui1"/>
      </w:tblPr>
      <w:tblGrid>
        <w:gridCol w:w="6405"/>
        <w:gridCol w:w="1650"/>
        <w:gridCol w:w="1650"/>
      </w:tblGrid>
      <w:tr w:rsidR="00566CE2">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15"/>
        </w:trPr>
        <w:tc>
          <w:tcPr>
            <w:tcW w:w="6405" w:type="dxa"/>
            <w:tcBorders>
              <w:top w:val="single" w:sz="8" w:space="0" w:color="000000"/>
              <w:left w:val="nil"/>
              <w:bottom w:val="single" w:sz="8" w:space="0" w:color="000000"/>
              <w:right w:val="nil"/>
              <w:tl2br w:val="nil"/>
              <w:tr2bl w:val="nil"/>
            </w:tcBorders>
            <w:shd w:val="clear" w:color="FFFFFF" w:fill="FFFFFF"/>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c>
          <w:tcPr>
            <w:tcW w:w="1650"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FFFFFF" w:fill="FFFFFF"/>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Créditos adquiridos </w:t>
            </w:r>
            <w:r>
              <w:rPr>
                <w:rFonts w:eastAsia="Arial" w:cs="Arial"/>
                <w:color w:val="000000"/>
                <w:sz w:val="16"/>
                <w:szCs w:val="22"/>
                <w:bdr w:val="nil"/>
                <w:vertAlign w:val="superscript"/>
                <w:lang w:eastAsia="en-US"/>
              </w:rPr>
              <w:t>(1)</w:t>
            </w:r>
          </w:p>
        </w:tc>
        <w:tc>
          <w:tcPr>
            <w:tcW w:w="165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890.863</w:t>
            </w:r>
          </w:p>
        </w:tc>
        <w:tc>
          <w:tcPr>
            <w:tcW w:w="165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860.194</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890.863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860.194</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Ativo circulante</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273.044</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252.629</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FFFFFF" w:fill="FFFFFF"/>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Ativo não circulante</w:t>
            </w:r>
          </w:p>
        </w:tc>
        <w:tc>
          <w:tcPr>
            <w:tcW w:w="165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617.819</w:t>
            </w:r>
          </w:p>
        </w:tc>
        <w:tc>
          <w:tcPr>
            <w:tcW w:w="165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607.565</w:t>
            </w:r>
          </w:p>
        </w:tc>
      </w:tr>
    </w:tbl>
    <w:p w:rsidR="00EC470C" w:rsidRDefault="00A82039" w:rsidP="00EC470C">
      <w:pPr>
        <w:pStyle w:val="07-Legenda"/>
        <w:keepNext/>
        <w:pBdr>
          <w:top w:val="nil"/>
          <w:left w:val="nil"/>
          <w:bottom w:val="nil"/>
          <w:right w:val="nil"/>
          <w:between w:val="nil"/>
          <w:bar w:val="nil"/>
        </w:pBdr>
        <w:rPr>
          <w:bdr w:val="nil"/>
        </w:rPr>
      </w:pPr>
      <w:r>
        <w:rPr>
          <w:bdr w:val="nil"/>
        </w:rPr>
        <w:t>(1)</w:t>
      </w:r>
      <w:r>
        <w:rPr>
          <w:bdr w:val="nil"/>
        </w:rPr>
        <w:tab/>
      </w:r>
      <w:r w:rsidRPr="00B31E8F">
        <w:rPr>
          <w:bdr w:val="nil"/>
        </w:rPr>
        <w:t>Refere</w:t>
      </w:r>
      <w:r>
        <w:rPr>
          <w:bdr w:val="nil"/>
        </w:rPr>
        <w:t>m</w:t>
      </w:r>
      <w:r w:rsidRPr="00B31E8F">
        <w:rPr>
          <w:bdr w:val="nil"/>
        </w:rPr>
        <w:t>-se, principalmente, às operações de CDC (empréstimos e financiamentos), Cheque Especial, Cartão de Crédito, Adiantamento a Depositante</w:t>
      </w:r>
      <w:r>
        <w:rPr>
          <w:bdr w:val="nil"/>
        </w:rPr>
        <w:t>s</w:t>
      </w:r>
      <w:r w:rsidRPr="00B31E8F">
        <w:rPr>
          <w:bdr w:val="nil"/>
        </w:rPr>
        <w:t xml:space="preserve">, Giro Rápido, Desconto de Títulos, </w:t>
      </w:r>
      <w:r w:rsidRPr="004D57B5">
        <w:rPr>
          <w:i/>
          <w:bdr w:val="nil"/>
        </w:rPr>
        <w:t>Leasing</w:t>
      </w:r>
      <w:r w:rsidRPr="00B31E8F">
        <w:rPr>
          <w:bdr w:val="nil"/>
        </w:rPr>
        <w:t xml:space="preserve">, Conta Garantida e </w:t>
      </w:r>
      <w:r w:rsidRPr="00736FE0">
        <w:rPr>
          <w:bdr w:val="nil"/>
        </w:rPr>
        <w:t>out</w:t>
      </w:r>
      <w:r>
        <w:rPr>
          <w:bdr w:val="nil"/>
        </w:rPr>
        <w:t xml:space="preserve">ras oriundas do Banco do Brasil </w:t>
      </w:r>
      <w:r w:rsidRPr="00736FE0">
        <w:rPr>
          <w:bdr w:val="nil"/>
        </w:rPr>
        <w:t>S.A</w:t>
      </w:r>
      <w:r>
        <w:rPr>
          <w:bdr w:val="nil"/>
        </w:rPr>
        <w:t>.; e operações de Renegociação de dívida PF, Renegociação de dívida PJ e Capital de Giro oriundas de outras Instituições Financeiras.</w:t>
      </w:r>
    </w:p>
    <w:p w:rsidR="00E06FA9" w:rsidRDefault="00E06FA9" w:rsidP="00EC470C">
      <w:pPr>
        <w:pStyle w:val="07-Legenda"/>
        <w:keepNext/>
        <w:pBdr>
          <w:top w:val="nil"/>
          <w:left w:val="nil"/>
          <w:bottom w:val="nil"/>
          <w:right w:val="nil"/>
          <w:between w:val="nil"/>
          <w:bar w:val="nil"/>
        </w:pBdr>
        <w:rPr>
          <w:bdr w:val="nil"/>
        </w:rPr>
      </w:pPr>
    </w:p>
    <w:p w:rsidR="00D616C8" w:rsidRPr="009C003C" w:rsidRDefault="00D616C8" w:rsidP="00EC470C">
      <w:pPr>
        <w:pStyle w:val="07-Legenda"/>
        <w:keepNext/>
        <w:pBdr>
          <w:top w:val="nil"/>
          <w:left w:val="nil"/>
          <w:bottom w:val="nil"/>
          <w:right w:val="nil"/>
          <w:between w:val="nil"/>
          <w:bar w:val="nil"/>
        </w:pBdr>
        <w:rPr>
          <w:sz w:val="6"/>
          <w:szCs w:val="6"/>
          <w:bdr w:val="nil"/>
        </w:rPr>
      </w:pPr>
    </w:p>
    <w:p w:rsidR="00D616C8" w:rsidRPr="00177721" w:rsidRDefault="00A82039" w:rsidP="00E300F5">
      <w:pPr>
        <w:pStyle w:val="PargrafodaLista"/>
        <w:keepNext/>
        <w:numPr>
          <w:ilvl w:val="0"/>
          <w:numId w:val="3"/>
        </w:numPr>
        <w:pBdr>
          <w:top w:val="nil"/>
          <w:left w:val="nil"/>
          <w:bottom w:val="nil"/>
          <w:right w:val="nil"/>
          <w:between w:val="nil"/>
          <w:bar w:val="nil"/>
        </w:pBdr>
        <w:rPr>
          <w:rFonts w:ascii="Arial" w:hAnsi="Arial" w:cs="Arial"/>
          <w:b/>
          <w:sz w:val="18"/>
          <w:szCs w:val="18"/>
          <w:bdr w:val="nil"/>
        </w:rPr>
      </w:pPr>
      <w:r w:rsidRPr="00177721">
        <w:rPr>
          <w:rFonts w:ascii="Arial" w:hAnsi="Arial" w:cs="Arial"/>
          <w:b/>
          <w:sz w:val="18"/>
          <w:szCs w:val="18"/>
          <w:bdr w:val="nil"/>
        </w:rPr>
        <w:t>Movimentação de Créditos Adquiridos</w:t>
      </w:r>
    </w:p>
    <w:tbl>
      <w:tblPr>
        <w:tblW w:w="9705" w:type="dxa"/>
        <w:tblLayout w:type="fixed"/>
        <w:tblLook w:val="0600" w:firstRow="0" w:lastRow="0" w:firstColumn="0" w:lastColumn="0" w:noHBand="1" w:noVBand="1"/>
        <w:tblCaption w:val="NEINSTRUMFINANCEIROSCredAdqui2"/>
      </w:tblPr>
      <w:tblGrid>
        <w:gridCol w:w="6405"/>
        <w:gridCol w:w="1650"/>
        <w:gridCol w:w="1650"/>
      </w:tblGrid>
      <w:tr w:rsidR="00566CE2">
        <w:trPr>
          <w:cantSplit/>
          <w:trHeight w:val="315"/>
        </w:trPr>
        <w:tc>
          <w:tcPr>
            <w:tcW w:w="6405" w:type="dxa"/>
            <w:tcBorders>
              <w:top w:val="single" w:sz="8" w:space="0" w:color="000000"/>
              <w:left w:val="nil"/>
              <w:bottom w:val="single" w:sz="8" w:space="0" w:color="000000"/>
              <w:right w:val="nil"/>
              <w:tl2br w:val="nil"/>
              <w:tr2bl w:val="nil"/>
            </w:tcBorders>
            <w:shd w:val="clear" w:color="FFFFFF" w:fill="FFFFFF"/>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c>
          <w:tcPr>
            <w:tcW w:w="1650"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FFFFFF" w:fill="FFFFFF"/>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Saldo Inicial</w:t>
            </w:r>
          </w:p>
        </w:tc>
        <w:tc>
          <w:tcPr>
            <w:tcW w:w="165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860.194</w:t>
            </w:r>
          </w:p>
        </w:tc>
        <w:tc>
          <w:tcPr>
            <w:tcW w:w="165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766.466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Aquisições no período</w:t>
            </w:r>
          </w:p>
        </w:tc>
        <w:tc>
          <w:tcPr>
            <w:tcW w:w="1650" w:type="dxa"/>
            <w:tcBorders>
              <w:top w:val="nil"/>
              <w:left w:val="nil"/>
              <w:bottom w:val="nil"/>
              <w:right w:val="nil"/>
              <w:tl2br w:val="nil"/>
              <w:tr2bl w:val="nil"/>
            </w:tcBorders>
            <w:shd w:val="clear" w:color="FFFFFF" w:fill="FFFFFF"/>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318.485</w:t>
            </w:r>
          </w:p>
        </w:tc>
        <w:tc>
          <w:tcPr>
            <w:tcW w:w="1650" w:type="dxa"/>
            <w:tcBorders>
              <w:top w:val="nil"/>
              <w:left w:val="nil"/>
              <w:bottom w:val="nil"/>
              <w:right w:val="nil"/>
              <w:tl2br w:val="nil"/>
              <w:tr2bl w:val="nil"/>
            </w:tcBorders>
            <w:shd w:val="clear" w:color="FFFFFF" w:fill="FFFFFF"/>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343.484</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  Banco do Brasil S.A.</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158.799</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275.393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  Outras instituições </w:t>
            </w:r>
            <w:r>
              <w:rPr>
                <w:rFonts w:eastAsia="Arial" w:cs="Arial"/>
                <w:color w:val="000000"/>
                <w:sz w:val="16"/>
                <w:szCs w:val="22"/>
                <w:bdr w:val="nil"/>
                <w:vertAlign w:val="superscript"/>
                <w:lang w:eastAsia="en-US"/>
              </w:rPr>
              <w:t>(1)</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159.686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68.091</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Perdas na baixa de créditos adquiridos </w:t>
            </w:r>
            <w:r>
              <w:rPr>
                <w:rFonts w:eastAsia="Arial" w:cs="Arial"/>
                <w:color w:val="000000"/>
                <w:sz w:val="16"/>
                <w:szCs w:val="22"/>
                <w:bdr w:val="nil"/>
                <w:vertAlign w:val="superscript"/>
                <w:lang w:eastAsia="en-US"/>
              </w:rPr>
              <w:t>(2)</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(211.597)</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(198.897)</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Baixa por pagamento</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(76.219)</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(50.859)</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FFFFFF" w:fill="FFFFFF"/>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Saldo Final</w:t>
            </w:r>
          </w:p>
        </w:tc>
        <w:tc>
          <w:tcPr>
            <w:tcW w:w="165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890.863</w:t>
            </w:r>
          </w:p>
        </w:tc>
        <w:tc>
          <w:tcPr>
            <w:tcW w:w="165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860.194</w:t>
            </w:r>
          </w:p>
        </w:tc>
      </w:tr>
    </w:tbl>
    <w:p w:rsidR="00F26F18" w:rsidRDefault="00A82039" w:rsidP="003E074D">
      <w:pPr>
        <w:pStyle w:val="07-Legenda"/>
        <w:keepNext/>
        <w:numPr>
          <w:ilvl w:val="0"/>
          <w:numId w:val="8"/>
        </w:numPr>
        <w:pBdr>
          <w:top w:val="nil"/>
          <w:left w:val="nil"/>
          <w:bottom w:val="nil"/>
          <w:right w:val="nil"/>
          <w:between w:val="nil"/>
          <w:bar w:val="nil"/>
        </w:pBdr>
        <w:rPr>
          <w:bdr w:val="nil"/>
        </w:rPr>
      </w:pPr>
      <w:r w:rsidRPr="00F26F18">
        <w:rPr>
          <w:bdr w:val="nil"/>
        </w:rPr>
        <w:t>Referem-se a operações adquiridas</w:t>
      </w:r>
      <w:r>
        <w:rPr>
          <w:bdr w:val="nil"/>
        </w:rPr>
        <w:t>, principalmente,</w:t>
      </w:r>
      <w:r w:rsidRPr="00F26F18">
        <w:rPr>
          <w:bdr w:val="nil"/>
        </w:rPr>
        <w:t xml:space="preserve"> do</w:t>
      </w:r>
      <w:r>
        <w:rPr>
          <w:bdr w:val="nil"/>
        </w:rPr>
        <w:t>s</w:t>
      </w:r>
      <w:r w:rsidRPr="00F26F18">
        <w:rPr>
          <w:bdr w:val="nil"/>
        </w:rPr>
        <w:t xml:space="preserve"> Banco</w:t>
      </w:r>
      <w:r>
        <w:rPr>
          <w:bdr w:val="nil"/>
        </w:rPr>
        <w:t>s Bradesco S.A., RCI Brasil S.A., Santander S.A, Tribanco e Votorantim;</w:t>
      </w:r>
    </w:p>
    <w:p w:rsidR="007C2781" w:rsidRDefault="00A82039" w:rsidP="00AB1AEF">
      <w:pPr>
        <w:pStyle w:val="07-Legenda"/>
        <w:keepNext/>
        <w:numPr>
          <w:ilvl w:val="0"/>
          <w:numId w:val="8"/>
        </w:numPr>
        <w:pBdr>
          <w:top w:val="nil"/>
          <w:left w:val="nil"/>
          <w:bottom w:val="nil"/>
          <w:right w:val="nil"/>
          <w:between w:val="nil"/>
          <w:bar w:val="nil"/>
        </w:pBdr>
        <w:ind w:left="284" w:hanging="284"/>
        <w:rPr>
          <w:bdr w:val="nil"/>
        </w:rPr>
      </w:pPr>
      <w:r>
        <w:rPr>
          <w:bdr w:val="nil"/>
        </w:rPr>
        <w:t>Referem-se à apropriação como perdas dos créditos adquiridos, conforme metodologia desenvolvida pela Ativos S.A., decorrentes (i) do atingimento da vida útil (baixa do estoque); ou (ii)</w:t>
      </w:r>
      <w:r w:rsidRPr="007A5AC4">
        <w:rPr>
          <w:bdr w:val="nil"/>
        </w:rPr>
        <w:t xml:space="preserve"> </w:t>
      </w:r>
      <w:r>
        <w:rPr>
          <w:bdr w:val="nil"/>
        </w:rPr>
        <w:t>considerados incobráveis por erro no cedente, operações sem acordo ou acordos quebrados e inadimplidos.</w:t>
      </w:r>
    </w:p>
    <w:p w:rsidR="002A724E" w:rsidRDefault="002A724E" w:rsidP="003E074D">
      <w:pPr>
        <w:pStyle w:val="07-Legenda"/>
        <w:keepNext/>
        <w:pBdr>
          <w:top w:val="nil"/>
          <w:left w:val="nil"/>
          <w:bottom w:val="nil"/>
          <w:right w:val="nil"/>
          <w:between w:val="nil"/>
          <w:bar w:val="nil"/>
        </w:pBdr>
        <w:ind w:left="720" w:firstLine="0"/>
        <w:rPr>
          <w:bdr w:val="nil"/>
        </w:rPr>
      </w:pPr>
    </w:p>
    <w:p w:rsidR="002A724E" w:rsidRPr="00177721" w:rsidRDefault="00A82039" w:rsidP="00E300F5">
      <w:pPr>
        <w:pStyle w:val="PargrafodaLista"/>
        <w:keepNext/>
        <w:numPr>
          <w:ilvl w:val="0"/>
          <w:numId w:val="3"/>
        </w:numPr>
        <w:pBdr>
          <w:top w:val="nil"/>
          <w:left w:val="nil"/>
          <w:bottom w:val="nil"/>
          <w:right w:val="nil"/>
          <w:between w:val="nil"/>
          <w:bar w:val="nil"/>
        </w:pBdr>
        <w:rPr>
          <w:rFonts w:ascii="Arial" w:hAnsi="Arial" w:cs="Arial"/>
          <w:b/>
          <w:sz w:val="18"/>
          <w:szCs w:val="18"/>
          <w:bdr w:val="nil"/>
        </w:rPr>
      </w:pPr>
      <w:r w:rsidRPr="00177721">
        <w:rPr>
          <w:rFonts w:ascii="Arial" w:hAnsi="Arial" w:cs="Arial"/>
          <w:b/>
          <w:sz w:val="18"/>
          <w:szCs w:val="18"/>
          <w:bdr w:val="nil"/>
        </w:rPr>
        <w:t>Instrumentos Financeiros Derivativos</w:t>
      </w:r>
    </w:p>
    <w:p w:rsidR="004249D7" w:rsidRDefault="00A82039" w:rsidP="002A724E">
      <w:pPr>
        <w:pStyle w:val="08-Tabelageral"/>
        <w:pBdr>
          <w:top w:val="nil"/>
          <w:left w:val="nil"/>
          <w:bottom w:val="nil"/>
          <w:right w:val="nil"/>
          <w:between w:val="nil"/>
          <w:bar w:val="nil"/>
        </w:pBdr>
        <w:jc w:val="both"/>
        <w:rPr>
          <w:bdr w:val="nil"/>
        </w:rPr>
      </w:pPr>
      <w:r>
        <w:rPr>
          <w:bdr w:val="nil"/>
        </w:rPr>
        <w:t xml:space="preserve">Em 31.12.2019 e 31.12.2018 </w:t>
      </w:r>
      <w:r w:rsidRPr="004249D7">
        <w:rPr>
          <w:bdr w:val="nil"/>
        </w:rPr>
        <w:t xml:space="preserve">não havia instrumentos financeiros derivativos em aberto, bem como não foram efetuadas transações com instrumentos financeiros derivativos ao longo dos exercícios findos em </w:t>
      </w:r>
      <w:r>
        <w:rPr>
          <w:bdr w:val="nil"/>
        </w:rPr>
        <w:t>31.12.2019 e 31.12.2018.</w:t>
      </w:r>
      <w:r w:rsidRPr="004249D7">
        <w:rPr>
          <w:bdr w:val="nil"/>
        </w:rPr>
        <w:t xml:space="preserve"> </w:t>
      </w:r>
    </w:p>
    <w:p w:rsidR="003E074D" w:rsidRPr="002A724E" w:rsidRDefault="003E074D" w:rsidP="002A724E">
      <w:pPr>
        <w:pBdr>
          <w:top w:val="nil"/>
          <w:left w:val="nil"/>
          <w:bottom w:val="nil"/>
          <w:right w:val="nil"/>
          <w:between w:val="nil"/>
          <w:bar w:val="nil"/>
        </w:pBdr>
        <w:spacing w:before="0" w:after="200"/>
        <w:jc w:val="left"/>
        <w:rPr>
          <w:sz w:val="22"/>
          <w:szCs w:val="22"/>
          <w:bdr w:val="nil"/>
        </w:rPr>
      </w:pPr>
    </w:p>
    <w:p w:rsidR="003F6ADF" w:rsidRDefault="00A82039" w:rsidP="0053690F">
      <w:pPr>
        <w:pStyle w:val="02-TtulodeNota"/>
        <w:pBdr>
          <w:top w:val="nil"/>
          <w:left w:val="nil"/>
          <w:bottom w:val="nil"/>
          <w:right w:val="nil"/>
          <w:between w:val="nil"/>
          <w:bar w:val="nil"/>
        </w:pBdr>
        <w:spacing w:after="0" w:line="276" w:lineRule="auto"/>
        <w:rPr>
          <w:rFonts w:cs="Times New Roman"/>
          <w:color w:val="auto"/>
          <w:bdr w:val="nil"/>
        </w:rPr>
      </w:pPr>
      <w:r w:rsidRPr="00B731E5">
        <w:rPr>
          <w:rFonts w:cs="Times New Roman"/>
          <w:color w:val="auto"/>
          <w:szCs w:val="20"/>
          <w:bdr w:val="nil"/>
        </w:rPr>
        <w:t>6</w:t>
      </w:r>
      <w:r>
        <w:rPr>
          <w:rFonts w:cs="Times New Roman"/>
          <w:color w:val="auto"/>
          <w:szCs w:val="20"/>
          <w:bdr w:val="nil"/>
        </w:rPr>
        <w:t xml:space="preserve"> - OUTROS CRÉDITOS</w:t>
      </w:r>
    </w:p>
    <w:tbl>
      <w:tblPr>
        <w:tblW w:w="9705" w:type="dxa"/>
        <w:tblLayout w:type="fixed"/>
        <w:tblLook w:val="0600" w:firstRow="0" w:lastRow="0" w:firstColumn="0" w:lastColumn="0" w:noHBand="1" w:noVBand="1"/>
        <w:tblCaption w:val="NEOUTROSCREDOutrCred"/>
      </w:tblPr>
      <w:tblGrid>
        <w:gridCol w:w="6405"/>
        <w:gridCol w:w="465"/>
        <w:gridCol w:w="1410"/>
        <w:gridCol w:w="1425"/>
      </w:tblGrid>
      <w:tr w:rsidR="00566CE2">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465"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41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425"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46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Nota</w:t>
            </w:r>
          </w:p>
        </w:tc>
        <w:tc>
          <w:tcPr>
            <w:tcW w:w="1410" w:type="dxa"/>
            <w:tcBorders>
              <w:top w:val="single" w:sz="8" w:space="0" w:color="000000"/>
              <w:left w:val="nil"/>
              <w:bottom w:val="single" w:sz="8" w:space="0" w:color="000000"/>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c>
          <w:tcPr>
            <w:tcW w:w="1425" w:type="dxa"/>
            <w:tcBorders>
              <w:top w:val="single" w:sz="8" w:space="0" w:color="000000"/>
              <w:left w:val="nil"/>
              <w:bottom w:val="single" w:sz="8" w:space="0" w:color="000000"/>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Ativo fiscal diferido - crédito tributário</w:t>
            </w:r>
          </w:p>
        </w:tc>
        <w:tc>
          <w:tcPr>
            <w:tcW w:w="465"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16.d</w:t>
            </w:r>
          </w:p>
        </w:tc>
        <w:tc>
          <w:tcPr>
            <w:tcW w:w="141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10.039</w:t>
            </w:r>
          </w:p>
        </w:tc>
        <w:tc>
          <w:tcPr>
            <w:tcW w:w="1425"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7.914</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Dividendos e bonificações a receber</w:t>
            </w:r>
          </w:p>
        </w:tc>
        <w:tc>
          <w:tcPr>
            <w:tcW w:w="46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17</w:t>
            </w:r>
          </w:p>
        </w:tc>
        <w:tc>
          <w:tcPr>
            <w:tcW w:w="141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4.015</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3.710</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Impostos e contribuições a compensar</w:t>
            </w:r>
          </w:p>
        </w:tc>
        <w:tc>
          <w:tcPr>
            <w:tcW w:w="465"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41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1.877</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1.298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Depósitos bloqueados </w:t>
            </w:r>
            <w:r>
              <w:rPr>
                <w:rFonts w:eastAsia="Arial" w:cs="Arial"/>
                <w:color w:val="000000"/>
                <w:sz w:val="16"/>
                <w:szCs w:val="22"/>
                <w:bdr w:val="nil"/>
                <w:vertAlign w:val="superscript"/>
                <w:lang w:eastAsia="en-US"/>
              </w:rPr>
              <w:t>(1)</w:t>
            </w:r>
          </w:p>
        </w:tc>
        <w:tc>
          <w:tcPr>
            <w:tcW w:w="465"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41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1.558</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1.514</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Títulos e créditos a receber </w:t>
            </w:r>
            <w:r>
              <w:rPr>
                <w:rFonts w:eastAsia="Arial" w:cs="Arial"/>
                <w:color w:val="000000"/>
                <w:sz w:val="16"/>
                <w:szCs w:val="22"/>
                <w:bdr w:val="nil"/>
                <w:vertAlign w:val="superscript"/>
                <w:lang w:eastAsia="en-US"/>
              </w:rPr>
              <w:t>(2)</w:t>
            </w:r>
          </w:p>
        </w:tc>
        <w:tc>
          <w:tcPr>
            <w:tcW w:w="465"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410" w:type="dxa"/>
            <w:tcBorders>
              <w:top w:val="nil"/>
              <w:left w:val="nil"/>
              <w:bottom w:val="nil"/>
              <w:right w:val="nil"/>
              <w:tl2br w:val="nil"/>
              <w:tr2bl w:val="nil"/>
            </w:tcBorders>
            <w:shd w:val="clear" w:color="FFFFFF" w:fill="FFFFFF"/>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641</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494</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Outros</w:t>
            </w:r>
          </w:p>
        </w:tc>
        <w:tc>
          <w:tcPr>
            <w:tcW w:w="465"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41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175</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465"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41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18.137</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15.105</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nil"/>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465" w:type="dxa"/>
            <w:tcBorders>
              <w:top w:val="nil"/>
              <w:left w:val="nil"/>
              <w:bottom w:val="nil"/>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410" w:type="dxa"/>
            <w:tcBorders>
              <w:top w:val="nil"/>
              <w:left w:val="nil"/>
              <w:bottom w:val="nil"/>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425" w:type="dxa"/>
            <w:tcBorders>
              <w:top w:val="nil"/>
              <w:left w:val="nil"/>
              <w:bottom w:val="nil"/>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Ativo circulante</w:t>
            </w:r>
          </w:p>
        </w:tc>
        <w:tc>
          <w:tcPr>
            <w:tcW w:w="465"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41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7.457</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6.697</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Ativo não circulante</w:t>
            </w:r>
          </w:p>
        </w:tc>
        <w:tc>
          <w:tcPr>
            <w:tcW w:w="465"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41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10.680</w:t>
            </w:r>
          </w:p>
        </w:tc>
        <w:tc>
          <w:tcPr>
            <w:tcW w:w="1425"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8.408</w:t>
            </w:r>
          </w:p>
        </w:tc>
      </w:tr>
    </w:tbl>
    <w:p w:rsidR="003C600B" w:rsidRDefault="00A82039" w:rsidP="003C600B">
      <w:pPr>
        <w:pStyle w:val="07-Legenda"/>
        <w:numPr>
          <w:ilvl w:val="0"/>
          <w:numId w:val="9"/>
        </w:numPr>
        <w:pBdr>
          <w:top w:val="nil"/>
          <w:left w:val="nil"/>
          <w:bottom w:val="nil"/>
          <w:right w:val="nil"/>
          <w:between w:val="nil"/>
          <w:bar w:val="nil"/>
        </w:pBdr>
        <w:ind w:left="284" w:hanging="284"/>
        <w:rPr>
          <w:bdr w:val="nil"/>
        </w:rPr>
      </w:pPr>
      <w:r>
        <w:rPr>
          <w:bdr w:val="nil"/>
        </w:rPr>
        <w:t>Referem-se aos saldos bloqueados na conta da Companhia por determinação judicial decorrente, principalmente, de ações cíveis de questionamento de clientes em relação a cobrança dos créditos adquiridos;</w:t>
      </w:r>
    </w:p>
    <w:p w:rsidR="009E67AC" w:rsidRPr="00D630A7" w:rsidRDefault="00A82039" w:rsidP="003C600B">
      <w:pPr>
        <w:pStyle w:val="07-Legenda"/>
        <w:numPr>
          <w:ilvl w:val="0"/>
          <w:numId w:val="9"/>
        </w:numPr>
        <w:pBdr>
          <w:top w:val="nil"/>
          <w:left w:val="nil"/>
          <w:bottom w:val="nil"/>
          <w:right w:val="nil"/>
          <w:between w:val="nil"/>
          <w:bar w:val="nil"/>
        </w:pBdr>
        <w:ind w:left="284" w:hanging="284"/>
        <w:rPr>
          <w:bdr w:val="nil"/>
        </w:rPr>
      </w:pPr>
      <w:r>
        <w:rPr>
          <w:bdr w:val="nil"/>
        </w:rPr>
        <w:t>Valor referente a reconhecimento de precatório oriundo de decisão transitada em julgado de</w:t>
      </w:r>
      <w:r w:rsidRPr="009E67AC">
        <w:rPr>
          <w:bdr w:val="nil"/>
        </w:rPr>
        <w:t xml:space="preserve"> ação judicial</w:t>
      </w:r>
      <w:r>
        <w:rPr>
          <w:bdr w:val="nil"/>
        </w:rPr>
        <w:t xml:space="preserve"> </w:t>
      </w:r>
      <w:r w:rsidRPr="009E67AC">
        <w:rPr>
          <w:bdr w:val="nil"/>
        </w:rPr>
        <w:t>de repetição</w:t>
      </w:r>
      <w:r>
        <w:rPr>
          <w:bdr w:val="nil"/>
        </w:rPr>
        <w:t xml:space="preserve"> de</w:t>
      </w:r>
      <w:r w:rsidRPr="009E67AC">
        <w:rPr>
          <w:bdr w:val="nil"/>
        </w:rPr>
        <w:t xml:space="preserve"> indébito tributário</w:t>
      </w:r>
      <w:r>
        <w:rPr>
          <w:bdr w:val="nil"/>
        </w:rPr>
        <w:t>,</w:t>
      </w:r>
      <w:r w:rsidRPr="009E67AC">
        <w:rPr>
          <w:bdr w:val="nil"/>
        </w:rPr>
        <w:t xml:space="preserve"> referente a recuperação de ISSQN a compensar de anos anteriores</w:t>
      </w:r>
      <w:r>
        <w:rPr>
          <w:bdr w:val="nil"/>
        </w:rPr>
        <w:t>.</w:t>
      </w:r>
    </w:p>
    <w:p w:rsidR="00566CE2" w:rsidRDefault="00566CE2">
      <w:pPr>
        <w:pBdr>
          <w:top w:val="nil"/>
          <w:left w:val="nil"/>
          <w:bottom w:val="nil"/>
          <w:right w:val="nil"/>
          <w:between w:val="nil"/>
          <w:bar w:val="nil"/>
        </w:pBdr>
        <w:spacing w:before="0" w:after="200"/>
        <w:jc w:val="left"/>
        <w:rPr>
          <w:sz w:val="22"/>
          <w:szCs w:val="22"/>
          <w:bdr w:val="nil"/>
          <w:lang w:eastAsia="en-US"/>
        </w:rPr>
      </w:pPr>
    </w:p>
    <w:p w:rsidR="00FC7DF7" w:rsidRDefault="00A82039" w:rsidP="00142A97">
      <w:pPr>
        <w:pStyle w:val="02-TtulodeNota"/>
        <w:keepLines w:val="0"/>
        <w:widowControl/>
        <w:suppressLineNumbers w:val="0"/>
        <w:pBdr>
          <w:top w:val="nil"/>
          <w:left w:val="nil"/>
          <w:bottom w:val="nil"/>
          <w:right w:val="nil"/>
          <w:between w:val="nil"/>
          <w:bar w:val="nil"/>
        </w:pBdr>
        <w:spacing w:after="0" w:line="276" w:lineRule="auto"/>
        <w:rPr>
          <w:rFonts w:cs="Times New Roman"/>
          <w:color w:val="auto"/>
          <w:bdr w:val="nil"/>
        </w:rPr>
      </w:pPr>
      <w:r w:rsidRPr="001B1C55">
        <w:rPr>
          <w:rFonts w:cs="Times New Roman"/>
          <w:color w:val="auto"/>
          <w:szCs w:val="20"/>
          <w:bdr w:val="nil"/>
        </w:rPr>
        <w:lastRenderedPageBreak/>
        <w:t>7</w:t>
      </w:r>
      <w:r>
        <w:rPr>
          <w:rFonts w:cs="Times New Roman"/>
          <w:color w:val="auto"/>
          <w:szCs w:val="20"/>
          <w:bdr w:val="nil"/>
        </w:rPr>
        <w:t xml:space="preserve"> - </w:t>
      </w:r>
      <w:r w:rsidRPr="00051D34">
        <w:rPr>
          <w:rFonts w:cs="Times New Roman"/>
          <w:color w:val="auto"/>
          <w:szCs w:val="20"/>
          <w:bdr w:val="nil"/>
        </w:rPr>
        <w:t>Outros</w:t>
      </w:r>
      <w:r>
        <w:rPr>
          <w:rFonts w:cs="Times New Roman"/>
          <w:color w:val="auto"/>
          <w:szCs w:val="20"/>
          <w:bdr w:val="nil"/>
        </w:rPr>
        <w:t xml:space="preserve"> VALORES E BENS</w:t>
      </w:r>
    </w:p>
    <w:tbl>
      <w:tblPr>
        <w:tblW w:w="9705" w:type="dxa"/>
        <w:tblLayout w:type="fixed"/>
        <w:tblLook w:val="0600" w:firstRow="0" w:lastRow="0" w:firstColumn="0" w:lastColumn="0" w:noHBand="1" w:noVBand="1"/>
        <w:tblCaption w:val="NEOUTRVALORESEBENSOutValBens"/>
      </w:tblPr>
      <w:tblGrid>
        <w:gridCol w:w="5955"/>
        <w:gridCol w:w="450"/>
        <w:gridCol w:w="1650"/>
        <w:gridCol w:w="1650"/>
      </w:tblGrid>
      <w:tr w:rsidR="00566CE2">
        <w:trPr>
          <w:cantSplit/>
          <w:trHeight w:val="270"/>
        </w:trPr>
        <w:tc>
          <w:tcPr>
            <w:tcW w:w="5955" w:type="dxa"/>
            <w:tcBorders>
              <w:top w:val="nil"/>
              <w:left w:val="nil"/>
              <w:bottom w:val="single" w:sz="8" w:space="0" w:color="000000"/>
              <w:right w:val="nil"/>
              <w:tl2br w:val="nil"/>
              <w:tr2bl w:val="nil"/>
            </w:tcBorders>
            <w:shd w:val="clear" w:color="auto" w:fill="auto"/>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450" w:type="dxa"/>
            <w:tcBorders>
              <w:top w:val="nil"/>
              <w:left w:val="nil"/>
              <w:bottom w:val="single" w:sz="8" w:space="0" w:color="000000"/>
              <w:right w:val="nil"/>
              <w:tl2br w:val="nil"/>
              <w:tr2bl w:val="nil"/>
            </w:tcBorders>
            <w:shd w:val="clear" w:color="auto" w:fill="auto"/>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595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4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Nota</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55"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Adiantamentos a terceiros </w:t>
            </w:r>
            <w:r>
              <w:rPr>
                <w:rFonts w:eastAsia="Arial" w:cs="Arial"/>
                <w:color w:val="000000"/>
                <w:sz w:val="16"/>
                <w:szCs w:val="22"/>
                <w:bdr w:val="nil"/>
                <w:vertAlign w:val="superscript"/>
                <w:lang w:eastAsia="en-US"/>
              </w:rPr>
              <w:t>(1)</w:t>
            </w:r>
          </w:p>
        </w:tc>
        <w:tc>
          <w:tcPr>
            <w:tcW w:w="450" w:type="dxa"/>
            <w:tcBorders>
              <w:top w:val="single" w:sz="8" w:space="0" w:color="000000"/>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181</w:t>
            </w:r>
          </w:p>
        </w:tc>
        <w:tc>
          <w:tcPr>
            <w:tcW w:w="1650"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1.340</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5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Valores a receber de sociedades ligadas </w:t>
            </w:r>
          </w:p>
        </w:tc>
        <w:tc>
          <w:tcPr>
            <w:tcW w:w="450"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17</w:t>
            </w:r>
          </w:p>
        </w:tc>
        <w:tc>
          <w:tcPr>
            <w:tcW w:w="1650" w:type="dxa"/>
            <w:tcBorders>
              <w:top w:val="nil"/>
              <w:left w:val="nil"/>
              <w:bottom w:val="nil"/>
              <w:right w:val="nil"/>
              <w:tl2br w:val="nil"/>
              <w:tr2bl w:val="nil"/>
            </w:tcBorders>
            <w:shd w:val="clear" w:color="FFFFFF" w:fill="FFFFFF"/>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64</w:t>
            </w:r>
          </w:p>
        </w:tc>
        <w:tc>
          <w:tcPr>
            <w:tcW w:w="1650" w:type="dxa"/>
            <w:tcBorders>
              <w:top w:val="nil"/>
              <w:left w:val="nil"/>
              <w:bottom w:val="nil"/>
              <w:right w:val="nil"/>
              <w:tl2br w:val="nil"/>
              <w:tr2bl w:val="nil"/>
            </w:tcBorders>
            <w:shd w:val="clear" w:color="FFFFFF" w:fill="FFFFFF"/>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5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Outros</w:t>
            </w:r>
          </w:p>
        </w:tc>
        <w:tc>
          <w:tcPr>
            <w:tcW w:w="450"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12</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5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450"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257</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1.434</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5955"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450"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5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Ativo circulante</w:t>
            </w:r>
          </w:p>
        </w:tc>
        <w:tc>
          <w:tcPr>
            <w:tcW w:w="4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257</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1.434</w:t>
            </w:r>
          </w:p>
        </w:tc>
      </w:tr>
    </w:tbl>
    <w:p w:rsidR="00D12640" w:rsidRPr="00A15231" w:rsidRDefault="00A82039" w:rsidP="00DB2E5E">
      <w:pPr>
        <w:pStyle w:val="07-Legenda"/>
        <w:keepLines w:val="0"/>
        <w:pBdr>
          <w:top w:val="nil"/>
          <w:left w:val="nil"/>
          <w:bottom w:val="nil"/>
          <w:right w:val="nil"/>
          <w:between w:val="nil"/>
          <w:bar w:val="nil"/>
        </w:pBdr>
        <w:rPr>
          <w:bdr w:val="nil"/>
        </w:rPr>
      </w:pPr>
      <w:r>
        <w:rPr>
          <w:bdr w:val="nil"/>
        </w:rPr>
        <w:t>(1)</w:t>
      </w:r>
      <w:r>
        <w:rPr>
          <w:bdr w:val="nil"/>
        </w:rPr>
        <w:tab/>
        <w:t>Refere-se a adiantamentos realizados aos escritórios advocatícios para cobrir</w:t>
      </w:r>
      <w:r w:rsidRPr="00A15231">
        <w:rPr>
          <w:bdr w:val="nil"/>
        </w:rPr>
        <w:t xml:space="preserve"> custas judiciais e</w:t>
      </w:r>
      <w:r>
        <w:rPr>
          <w:bdr w:val="nil"/>
        </w:rPr>
        <w:t xml:space="preserve"> pagamento de</w:t>
      </w:r>
      <w:r w:rsidRPr="00A15231">
        <w:rPr>
          <w:bdr w:val="nil"/>
        </w:rPr>
        <w:t xml:space="preserve"> indenizações</w:t>
      </w:r>
      <w:r>
        <w:rPr>
          <w:bdr w:val="nil"/>
        </w:rPr>
        <w:t xml:space="preserve"> cíveis e trabalhistas</w:t>
      </w:r>
      <w:r w:rsidRPr="00A15231">
        <w:rPr>
          <w:bdr w:val="nil"/>
        </w:rPr>
        <w:t>.</w:t>
      </w:r>
    </w:p>
    <w:p w:rsidR="00566CE2" w:rsidRDefault="00566CE2">
      <w:pPr>
        <w:pBdr>
          <w:top w:val="nil"/>
          <w:left w:val="nil"/>
          <w:bottom w:val="nil"/>
          <w:right w:val="nil"/>
          <w:between w:val="nil"/>
          <w:bar w:val="nil"/>
        </w:pBdr>
        <w:spacing w:before="0" w:after="200"/>
        <w:jc w:val="left"/>
        <w:rPr>
          <w:sz w:val="22"/>
          <w:szCs w:val="22"/>
          <w:bdr w:val="nil"/>
          <w:lang w:eastAsia="en-US"/>
        </w:rPr>
      </w:pPr>
    </w:p>
    <w:p w:rsidR="00896490" w:rsidRDefault="00A82039" w:rsidP="002E1DD1">
      <w:pPr>
        <w:pStyle w:val="02-TtulodeNota"/>
        <w:pBdr>
          <w:top w:val="nil"/>
          <w:left w:val="nil"/>
          <w:bottom w:val="nil"/>
          <w:right w:val="nil"/>
          <w:between w:val="nil"/>
          <w:bar w:val="nil"/>
        </w:pBdr>
        <w:spacing w:line="276" w:lineRule="auto"/>
        <w:rPr>
          <w:rFonts w:cs="Times New Roman"/>
          <w:color w:val="auto"/>
          <w:bdr w:val="nil"/>
        </w:rPr>
      </w:pPr>
      <w:r w:rsidRPr="002E1DD1">
        <w:rPr>
          <w:rFonts w:cs="Times New Roman"/>
          <w:color w:val="auto"/>
          <w:szCs w:val="20"/>
          <w:bdr w:val="nil"/>
        </w:rPr>
        <w:t>8</w:t>
      </w:r>
      <w:r>
        <w:rPr>
          <w:rFonts w:cs="Times New Roman"/>
          <w:color w:val="auto"/>
          <w:szCs w:val="20"/>
          <w:bdr w:val="nil"/>
        </w:rPr>
        <w:t xml:space="preserve"> - </w:t>
      </w:r>
      <w:r w:rsidRPr="00F230DC">
        <w:rPr>
          <w:rFonts w:cs="Times New Roman"/>
          <w:color w:val="auto"/>
          <w:szCs w:val="20"/>
          <w:bdr w:val="nil"/>
        </w:rPr>
        <w:t>PARTICIPAÇ</w:t>
      </w:r>
      <w:r>
        <w:rPr>
          <w:rFonts w:cs="Times New Roman"/>
          <w:color w:val="auto"/>
          <w:szCs w:val="20"/>
          <w:bdr w:val="nil"/>
        </w:rPr>
        <w:t>ões</w:t>
      </w:r>
      <w:r w:rsidRPr="00F230DC">
        <w:rPr>
          <w:rFonts w:cs="Times New Roman"/>
          <w:color w:val="auto"/>
          <w:szCs w:val="20"/>
          <w:bdr w:val="nil"/>
        </w:rPr>
        <w:t xml:space="preserve"> SOCIETÁRIA</w:t>
      </w:r>
      <w:r>
        <w:rPr>
          <w:rFonts w:cs="Times New Roman"/>
          <w:color w:val="auto"/>
          <w:szCs w:val="20"/>
          <w:bdr w:val="nil"/>
        </w:rPr>
        <w:t>s</w:t>
      </w:r>
    </w:p>
    <w:p w:rsidR="00391D65" w:rsidRPr="00391D65" w:rsidRDefault="00391D65" w:rsidP="00391D65">
      <w:pPr>
        <w:pStyle w:val="07-Legenda"/>
        <w:pBdr>
          <w:top w:val="nil"/>
          <w:left w:val="nil"/>
          <w:bottom w:val="nil"/>
          <w:right w:val="nil"/>
          <w:between w:val="nil"/>
          <w:bar w:val="nil"/>
        </w:pBdr>
        <w:spacing w:before="0"/>
        <w:rPr>
          <w:bdr w:val="nil"/>
        </w:rPr>
      </w:pPr>
    </w:p>
    <w:p w:rsidR="00F230DC" w:rsidRPr="00223A99" w:rsidRDefault="00A82039" w:rsidP="00223A99">
      <w:pPr>
        <w:pBdr>
          <w:top w:val="nil"/>
          <w:left w:val="nil"/>
          <w:bottom w:val="nil"/>
          <w:right w:val="nil"/>
          <w:between w:val="nil"/>
          <w:bar w:val="nil"/>
        </w:pBdr>
        <w:spacing w:before="0" w:after="200"/>
        <w:jc w:val="left"/>
        <w:rPr>
          <w:rFonts w:cs="Arial"/>
          <w:b/>
          <w:bdr w:val="nil"/>
          <w:lang w:eastAsia="en-US"/>
        </w:rPr>
      </w:pPr>
      <w:r w:rsidRPr="00223A99">
        <w:rPr>
          <w:rFonts w:eastAsia="Calibri" w:cs="Arial"/>
          <w:b/>
          <w:bdr w:val="nil"/>
          <w:lang w:eastAsia="en-US"/>
        </w:rPr>
        <w:t>Movimentações em Controlada</w:t>
      </w:r>
    </w:p>
    <w:tbl>
      <w:tblPr>
        <w:tblW w:w="9705" w:type="dxa"/>
        <w:tblLayout w:type="fixed"/>
        <w:tblLook w:val="0600" w:firstRow="0" w:lastRow="0" w:firstColumn="0" w:lastColumn="0" w:noHBand="1" w:noVBand="1"/>
        <w:tblCaption w:val="NEPARTICIPSOCIETARIASMovControl1"/>
      </w:tblPr>
      <w:tblGrid>
        <w:gridCol w:w="2610"/>
        <w:gridCol w:w="1275"/>
        <w:gridCol w:w="195"/>
        <w:gridCol w:w="1275"/>
        <w:gridCol w:w="1275"/>
        <w:gridCol w:w="195"/>
        <w:gridCol w:w="1350"/>
        <w:gridCol w:w="1530"/>
      </w:tblGrid>
      <w:tr w:rsidR="00566CE2">
        <w:trPr>
          <w:cantSplit/>
          <w:trHeight w:val="690"/>
        </w:trPr>
        <w:tc>
          <w:tcPr>
            <w:tcW w:w="2610" w:type="dxa"/>
            <w:vMerge w:val="restart"/>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Empresa</w:t>
            </w: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Saldo Contábil</w:t>
            </w:r>
          </w:p>
        </w:tc>
        <w:tc>
          <w:tcPr>
            <w:tcW w:w="195" w:type="dxa"/>
            <w:tcBorders>
              <w:top w:val="single" w:sz="8" w:space="0" w:color="000000"/>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255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Movimentações                   Exercício/2019</w:t>
            </w:r>
          </w:p>
        </w:tc>
        <w:tc>
          <w:tcPr>
            <w:tcW w:w="195" w:type="dxa"/>
            <w:tcBorders>
              <w:top w:val="single" w:sz="8" w:space="0" w:color="000000"/>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3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Saldo Contábil</w:t>
            </w:r>
          </w:p>
        </w:tc>
        <w:tc>
          <w:tcPr>
            <w:tcW w:w="153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Resultado de Equivalência Patrimonial</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90"/>
        </w:trPr>
        <w:tc>
          <w:tcPr>
            <w:tcW w:w="2610" w:type="dxa"/>
            <w:vMerge/>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spacing w:before="0" w:after="0" w:line="240" w:lineRule="auto"/>
              <w:jc w:val="center"/>
              <w:rPr>
                <w:rFonts w:eastAsia="Arial" w:cs="Arial"/>
                <w:b/>
                <w:color w:val="000000"/>
                <w:sz w:val="16"/>
                <w:szCs w:val="22"/>
                <w:bdr w:val="nil"/>
                <w:lang w:eastAsia="en-US"/>
              </w:rPr>
            </w:pP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31.12.2018</w:t>
            </w:r>
          </w:p>
        </w:tc>
        <w:tc>
          <w:tcPr>
            <w:tcW w:w="195"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Dividendos</w:t>
            </w: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Resultado de Equivalência Patrimonial</w:t>
            </w:r>
          </w:p>
        </w:tc>
        <w:tc>
          <w:tcPr>
            <w:tcW w:w="195"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3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c>
          <w:tcPr>
            <w:tcW w:w="153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5"/>
        </w:trPr>
        <w:tc>
          <w:tcPr>
            <w:tcW w:w="261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Ativos S.A. Gestão de Cobrança e Recuperação de Crédito</w:t>
            </w: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w:t>
            </w:r>
          </w:p>
        </w:tc>
        <w:tc>
          <w:tcPr>
            <w:tcW w:w="19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(4.015)</w:t>
            </w: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4.015</w:t>
            </w:r>
          </w:p>
        </w:tc>
        <w:tc>
          <w:tcPr>
            <w:tcW w:w="19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5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w:t>
            </w:r>
          </w:p>
        </w:tc>
        <w:tc>
          <w:tcPr>
            <w:tcW w:w="153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3.710</w:t>
            </w:r>
          </w:p>
        </w:tc>
      </w:tr>
    </w:tbl>
    <w:p w:rsidR="00EA5384" w:rsidRDefault="00EA5384" w:rsidP="00F76DEA">
      <w:pPr>
        <w:pStyle w:val="07-Legenda"/>
        <w:pBdr>
          <w:top w:val="nil"/>
          <w:left w:val="nil"/>
          <w:bottom w:val="nil"/>
          <w:right w:val="nil"/>
          <w:between w:val="nil"/>
          <w:bar w:val="nil"/>
        </w:pBdr>
        <w:spacing w:before="0"/>
        <w:rPr>
          <w:bdr w:val="nil"/>
        </w:rPr>
      </w:pPr>
    </w:p>
    <w:tbl>
      <w:tblPr>
        <w:tblW w:w="9705" w:type="dxa"/>
        <w:tblLayout w:type="fixed"/>
        <w:tblLook w:val="0600" w:firstRow="0" w:lastRow="0" w:firstColumn="0" w:lastColumn="0" w:noHBand="1" w:noVBand="1"/>
        <w:tblCaption w:val="NEPARTICIPSOCIETARIASMovControl2"/>
      </w:tblPr>
      <w:tblGrid>
        <w:gridCol w:w="3975"/>
        <w:gridCol w:w="1170"/>
        <w:gridCol w:w="1140"/>
        <w:gridCol w:w="1140"/>
        <w:gridCol w:w="1140"/>
        <w:gridCol w:w="1140"/>
      </w:tblGrid>
      <w:tr w:rsidR="00566CE2">
        <w:trPr>
          <w:cantSplit/>
          <w:trHeight w:val="270"/>
        </w:trPr>
        <w:tc>
          <w:tcPr>
            <w:tcW w:w="3975"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17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3420" w:type="dxa"/>
            <w:gridSpan w:val="3"/>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140" w:type="dxa"/>
            <w:tcBorders>
              <w:top w:val="nil"/>
              <w:left w:val="nil"/>
              <w:bottom w:val="single" w:sz="8" w:space="0" w:color="000000"/>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3975" w:type="dxa"/>
            <w:tcBorders>
              <w:top w:val="single" w:sz="8" w:space="0" w:color="000000"/>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5730" w:type="dxa"/>
            <w:gridSpan w:val="5"/>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31.12.2019</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90"/>
        </w:trPr>
        <w:tc>
          <w:tcPr>
            <w:tcW w:w="397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Empresa</w:t>
            </w:r>
          </w:p>
        </w:tc>
        <w:tc>
          <w:tcPr>
            <w:tcW w:w="117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Capital Social</w:t>
            </w:r>
          </w:p>
        </w:tc>
        <w:tc>
          <w:tcPr>
            <w:tcW w:w="114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Patrimônio Líquido Ajustado</w:t>
            </w:r>
          </w:p>
        </w:tc>
        <w:tc>
          <w:tcPr>
            <w:tcW w:w="114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Lucro</w:t>
            </w:r>
          </w:p>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Líquido</w:t>
            </w:r>
          </w:p>
        </w:tc>
        <w:tc>
          <w:tcPr>
            <w:tcW w:w="114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Quantidade             de Ações</w:t>
            </w:r>
          </w:p>
        </w:tc>
        <w:tc>
          <w:tcPr>
            <w:tcW w:w="114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Participação</w:t>
            </w:r>
          </w:p>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do Capital Social %</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5"/>
        </w:trPr>
        <w:tc>
          <w:tcPr>
            <w:tcW w:w="39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Ativos S.A. Gestão de Cobrança e Recuperação de Crédito</w:t>
            </w:r>
          </w:p>
        </w:tc>
        <w:tc>
          <w:tcPr>
            <w:tcW w:w="117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w:t>
            </w:r>
          </w:p>
        </w:tc>
        <w:tc>
          <w:tcPr>
            <w:tcW w:w="114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w:t>
            </w:r>
          </w:p>
        </w:tc>
        <w:tc>
          <w:tcPr>
            <w:tcW w:w="114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4.015</w:t>
            </w:r>
          </w:p>
        </w:tc>
        <w:tc>
          <w:tcPr>
            <w:tcW w:w="114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5.000</w:t>
            </w:r>
          </w:p>
        </w:tc>
        <w:tc>
          <w:tcPr>
            <w:tcW w:w="114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100</w:t>
            </w:r>
          </w:p>
        </w:tc>
      </w:tr>
    </w:tbl>
    <w:p w:rsidR="00566CE2" w:rsidRDefault="00566CE2">
      <w:pPr>
        <w:pBdr>
          <w:top w:val="nil"/>
          <w:left w:val="nil"/>
          <w:bottom w:val="nil"/>
          <w:right w:val="nil"/>
          <w:between w:val="nil"/>
          <w:bar w:val="nil"/>
        </w:pBdr>
        <w:spacing w:before="0" w:after="200"/>
        <w:jc w:val="left"/>
        <w:rPr>
          <w:sz w:val="22"/>
          <w:szCs w:val="22"/>
          <w:bdr w:val="nil"/>
          <w:lang w:eastAsia="en-US"/>
        </w:rPr>
      </w:pPr>
    </w:p>
    <w:p w:rsidR="00896490" w:rsidRDefault="00A82039" w:rsidP="008B6556">
      <w:pPr>
        <w:pStyle w:val="02-TtulodeNota"/>
        <w:pBdr>
          <w:top w:val="nil"/>
          <w:left w:val="nil"/>
          <w:bottom w:val="nil"/>
          <w:right w:val="nil"/>
          <w:between w:val="nil"/>
          <w:bar w:val="nil"/>
        </w:pBdr>
        <w:spacing w:before="120" w:after="0" w:line="276" w:lineRule="auto"/>
        <w:rPr>
          <w:rFonts w:cs="Times New Roman"/>
          <w:color w:val="auto"/>
          <w:bdr w:val="nil"/>
        </w:rPr>
      </w:pPr>
      <w:r w:rsidRPr="000B6959">
        <w:rPr>
          <w:rFonts w:cs="Times New Roman"/>
          <w:color w:val="auto"/>
          <w:szCs w:val="20"/>
          <w:bdr w:val="nil"/>
        </w:rPr>
        <w:t>9</w:t>
      </w:r>
      <w:r>
        <w:rPr>
          <w:rFonts w:cs="Times New Roman"/>
          <w:color w:val="auto"/>
          <w:szCs w:val="20"/>
          <w:bdr w:val="nil"/>
        </w:rPr>
        <w:t xml:space="preserve"> – imobilizado</w:t>
      </w:r>
    </w:p>
    <w:p w:rsidR="00BE6E71" w:rsidRPr="00BE6E71" w:rsidRDefault="00BE6E71" w:rsidP="008B6556">
      <w:pPr>
        <w:pStyle w:val="07-Legenda"/>
        <w:keepNext/>
        <w:pBdr>
          <w:top w:val="nil"/>
          <w:left w:val="nil"/>
          <w:bottom w:val="nil"/>
          <w:right w:val="nil"/>
          <w:between w:val="nil"/>
          <w:bar w:val="nil"/>
        </w:pBdr>
        <w:rPr>
          <w:bdr w:val="nil"/>
        </w:rPr>
      </w:pPr>
    </w:p>
    <w:tbl>
      <w:tblPr>
        <w:tblW w:w="9585" w:type="dxa"/>
        <w:tblLayout w:type="fixed"/>
        <w:tblLook w:val="0600" w:firstRow="0" w:lastRow="0" w:firstColumn="0" w:lastColumn="0" w:noHBand="1" w:noVBand="1"/>
        <w:tblCaption w:val="NEIMOBILIZADOImobi"/>
      </w:tblPr>
      <w:tblGrid>
        <w:gridCol w:w="3675"/>
        <w:gridCol w:w="1350"/>
        <w:gridCol w:w="1140"/>
        <w:gridCol w:w="1140"/>
        <w:gridCol w:w="1140"/>
        <w:gridCol w:w="1140"/>
      </w:tblGrid>
      <w:tr w:rsidR="00566CE2">
        <w:trPr>
          <w:cantSplit/>
          <w:trHeight w:val="270"/>
        </w:trPr>
        <w:tc>
          <w:tcPr>
            <w:tcW w:w="3675"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3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2280"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14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140" w:type="dxa"/>
            <w:tcBorders>
              <w:top w:val="nil"/>
              <w:left w:val="nil"/>
              <w:bottom w:val="single" w:sz="8" w:space="0" w:color="000000"/>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3675" w:type="dxa"/>
            <w:vMerge w:val="restart"/>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Imobilizado de uso</w:t>
            </w:r>
          </w:p>
        </w:tc>
        <w:tc>
          <w:tcPr>
            <w:tcW w:w="1350" w:type="dxa"/>
            <w:vMerge w:val="restart"/>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Taxa Anual de Depreciação %</w:t>
            </w:r>
          </w:p>
        </w:tc>
        <w:tc>
          <w:tcPr>
            <w:tcW w:w="1140" w:type="dxa"/>
            <w:vMerge w:val="restart"/>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Custo de Aquisição</w:t>
            </w:r>
          </w:p>
        </w:tc>
        <w:tc>
          <w:tcPr>
            <w:tcW w:w="1140" w:type="dxa"/>
            <w:vMerge w:val="restart"/>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Depreciação Acumulada</w:t>
            </w:r>
          </w:p>
        </w:tc>
        <w:tc>
          <w:tcPr>
            <w:tcW w:w="114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c>
          <w:tcPr>
            <w:tcW w:w="114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5"/>
        </w:trPr>
        <w:tc>
          <w:tcPr>
            <w:tcW w:w="3675" w:type="dxa"/>
            <w:vMerge/>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spacing w:before="0" w:after="0" w:line="240" w:lineRule="auto"/>
              <w:jc w:val="center"/>
              <w:rPr>
                <w:rFonts w:eastAsia="Arial" w:cs="Arial"/>
                <w:b/>
                <w:color w:val="000000"/>
                <w:sz w:val="16"/>
                <w:szCs w:val="22"/>
                <w:bdr w:val="nil"/>
                <w:lang w:eastAsia="en-US"/>
              </w:rPr>
            </w:pPr>
          </w:p>
        </w:tc>
        <w:tc>
          <w:tcPr>
            <w:tcW w:w="1350" w:type="dxa"/>
            <w:vMerge/>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spacing w:before="0" w:after="0" w:line="240" w:lineRule="auto"/>
              <w:jc w:val="right"/>
              <w:rPr>
                <w:rFonts w:eastAsia="Arial" w:cs="Arial"/>
                <w:b/>
                <w:color w:val="000000"/>
                <w:sz w:val="16"/>
                <w:szCs w:val="22"/>
                <w:bdr w:val="nil"/>
                <w:lang w:eastAsia="en-US"/>
              </w:rPr>
            </w:pPr>
          </w:p>
        </w:tc>
        <w:tc>
          <w:tcPr>
            <w:tcW w:w="1140" w:type="dxa"/>
            <w:vMerge/>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spacing w:before="0" w:after="0" w:line="240" w:lineRule="auto"/>
              <w:jc w:val="right"/>
              <w:rPr>
                <w:rFonts w:eastAsia="Arial" w:cs="Arial"/>
                <w:b/>
                <w:color w:val="000000"/>
                <w:sz w:val="16"/>
                <w:szCs w:val="22"/>
                <w:bdr w:val="nil"/>
                <w:lang w:eastAsia="en-US"/>
              </w:rPr>
            </w:pPr>
          </w:p>
        </w:tc>
        <w:tc>
          <w:tcPr>
            <w:tcW w:w="1140" w:type="dxa"/>
            <w:vMerge/>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spacing w:before="0" w:after="0" w:line="240" w:lineRule="auto"/>
              <w:jc w:val="center"/>
              <w:rPr>
                <w:rFonts w:eastAsia="Arial" w:cs="Arial"/>
                <w:b/>
                <w:color w:val="000000"/>
                <w:sz w:val="16"/>
                <w:szCs w:val="22"/>
                <w:bdr w:val="nil"/>
                <w:lang w:eastAsia="en-US"/>
              </w:rPr>
            </w:pPr>
          </w:p>
        </w:tc>
        <w:tc>
          <w:tcPr>
            <w:tcW w:w="114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Saldo Contábil</w:t>
            </w:r>
          </w:p>
        </w:tc>
        <w:tc>
          <w:tcPr>
            <w:tcW w:w="114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Saldo Contábil</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3675"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Máquinas e equipamentos</w:t>
            </w:r>
          </w:p>
        </w:tc>
        <w:tc>
          <w:tcPr>
            <w:tcW w:w="1350"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10 a 20</w:t>
            </w:r>
          </w:p>
        </w:tc>
        <w:tc>
          <w:tcPr>
            <w:tcW w:w="114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3.827</w:t>
            </w:r>
          </w:p>
        </w:tc>
        <w:tc>
          <w:tcPr>
            <w:tcW w:w="114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(2.784)</w:t>
            </w:r>
          </w:p>
        </w:tc>
        <w:tc>
          <w:tcPr>
            <w:tcW w:w="114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1.043</w:t>
            </w:r>
          </w:p>
        </w:tc>
        <w:tc>
          <w:tcPr>
            <w:tcW w:w="114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856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367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Móveis e utensílios</w:t>
            </w:r>
          </w:p>
        </w:tc>
        <w:tc>
          <w:tcPr>
            <w:tcW w:w="1350"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10</w:t>
            </w:r>
          </w:p>
        </w:tc>
        <w:tc>
          <w:tcPr>
            <w:tcW w:w="114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581</w:t>
            </w:r>
          </w:p>
        </w:tc>
        <w:tc>
          <w:tcPr>
            <w:tcW w:w="114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(406)</w:t>
            </w:r>
          </w:p>
        </w:tc>
        <w:tc>
          <w:tcPr>
            <w:tcW w:w="114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175</w:t>
            </w:r>
          </w:p>
        </w:tc>
        <w:tc>
          <w:tcPr>
            <w:tcW w:w="114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216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50"/>
        </w:trPr>
        <w:tc>
          <w:tcPr>
            <w:tcW w:w="367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Imóveis de uso – benfeitorias em imóveis de terceiros </w:t>
            </w:r>
            <w:r>
              <w:rPr>
                <w:rFonts w:eastAsia="Arial" w:cs="Arial"/>
                <w:color w:val="000000"/>
                <w:sz w:val="16"/>
                <w:szCs w:val="22"/>
                <w:bdr w:val="nil"/>
                <w:vertAlign w:val="superscript"/>
                <w:lang w:eastAsia="en-US"/>
              </w:rPr>
              <w:t>(1)</w:t>
            </w:r>
          </w:p>
        </w:tc>
        <w:tc>
          <w:tcPr>
            <w:tcW w:w="1350"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13,48</w:t>
            </w:r>
          </w:p>
        </w:tc>
        <w:tc>
          <w:tcPr>
            <w:tcW w:w="114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17</w:t>
            </w:r>
          </w:p>
        </w:tc>
        <w:tc>
          <w:tcPr>
            <w:tcW w:w="114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w:t>
            </w:r>
          </w:p>
        </w:tc>
        <w:tc>
          <w:tcPr>
            <w:tcW w:w="114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11</w:t>
            </w:r>
          </w:p>
        </w:tc>
        <w:tc>
          <w:tcPr>
            <w:tcW w:w="114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367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Instalações e outros</w:t>
            </w:r>
          </w:p>
        </w:tc>
        <w:tc>
          <w:tcPr>
            <w:tcW w:w="1350"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10</w:t>
            </w:r>
          </w:p>
        </w:tc>
        <w:tc>
          <w:tcPr>
            <w:tcW w:w="114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245</w:t>
            </w:r>
          </w:p>
        </w:tc>
        <w:tc>
          <w:tcPr>
            <w:tcW w:w="114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(244)</w:t>
            </w:r>
          </w:p>
        </w:tc>
        <w:tc>
          <w:tcPr>
            <w:tcW w:w="114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w:t>
            </w:r>
          </w:p>
        </w:tc>
        <w:tc>
          <w:tcPr>
            <w:tcW w:w="114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367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Benfeitorias a depreciar</w:t>
            </w:r>
          </w:p>
        </w:tc>
        <w:tc>
          <w:tcPr>
            <w:tcW w:w="1350"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w:t>
            </w:r>
          </w:p>
        </w:tc>
        <w:tc>
          <w:tcPr>
            <w:tcW w:w="114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14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14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14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17</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367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3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14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4.670</w:t>
            </w:r>
          </w:p>
        </w:tc>
        <w:tc>
          <w:tcPr>
            <w:tcW w:w="114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(3.440)</w:t>
            </w:r>
          </w:p>
        </w:tc>
        <w:tc>
          <w:tcPr>
            <w:tcW w:w="114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1.230</w:t>
            </w:r>
          </w:p>
        </w:tc>
        <w:tc>
          <w:tcPr>
            <w:tcW w:w="114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1.090</w:t>
            </w:r>
          </w:p>
        </w:tc>
      </w:tr>
    </w:tbl>
    <w:p w:rsidR="008B6556" w:rsidRDefault="00A82039" w:rsidP="00502A2C">
      <w:pPr>
        <w:pStyle w:val="07-Legenda"/>
        <w:pBdr>
          <w:top w:val="nil"/>
          <w:left w:val="nil"/>
          <w:bottom w:val="nil"/>
          <w:right w:val="nil"/>
          <w:between w:val="nil"/>
          <w:bar w:val="nil"/>
        </w:pBdr>
        <w:spacing w:before="0"/>
        <w:rPr>
          <w:bdr w:val="nil"/>
        </w:rPr>
      </w:pPr>
      <w:r>
        <w:rPr>
          <w:bdr w:val="nil"/>
        </w:rPr>
        <w:t>(</w:t>
      </w:r>
      <w:r w:rsidRPr="005A7FD1">
        <w:rPr>
          <w:bdr w:val="nil"/>
        </w:rPr>
        <w:t>1)</w:t>
      </w:r>
      <w:r w:rsidRPr="005A7FD1">
        <w:rPr>
          <w:bdr w:val="nil"/>
        </w:rPr>
        <w:tab/>
        <w:t xml:space="preserve">Taxa de depreciação </w:t>
      </w:r>
      <w:r>
        <w:rPr>
          <w:bdr w:val="nil"/>
        </w:rPr>
        <w:t>conforme período de vigência inicial do contrato de locação (89 meses).</w:t>
      </w:r>
    </w:p>
    <w:p w:rsidR="00566CE2" w:rsidRDefault="00566CE2">
      <w:pPr>
        <w:pBdr>
          <w:top w:val="nil"/>
          <w:left w:val="nil"/>
          <w:bottom w:val="nil"/>
          <w:right w:val="nil"/>
          <w:between w:val="nil"/>
          <w:bar w:val="nil"/>
        </w:pBdr>
        <w:spacing w:before="0" w:after="200"/>
        <w:jc w:val="left"/>
        <w:rPr>
          <w:rFonts w:ascii="Calibri" w:eastAsia="Calibri" w:hAnsi="Calibri" w:cs="Arial"/>
          <w:sz w:val="22"/>
          <w:szCs w:val="22"/>
          <w:bdr w:val="nil"/>
          <w:lang w:val="en-US" w:eastAsia="en-US"/>
        </w:rPr>
      </w:pPr>
    </w:p>
    <w:p w:rsidR="00AC02BF" w:rsidRPr="00AC02BF" w:rsidRDefault="00A82039" w:rsidP="003B60C3">
      <w:pPr>
        <w:keepNext/>
        <w:pBdr>
          <w:top w:val="nil"/>
          <w:left w:val="nil"/>
          <w:bottom w:val="nil"/>
          <w:right w:val="nil"/>
          <w:between w:val="nil"/>
          <w:bar w:val="nil"/>
        </w:pBdr>
        <w:spacing w:before="0" w:after="200"/>
        <w:jc w:val="left"/>
        <w:rPr>
          <w:rFonts w:eastAsia="Calibri" w:cs="Arial"/>
          <w:b/>
          <w:sz w:val="20"/>
          <w:szCs w:val="20"/>
          <w:bdr w:val="nil"/>
          <w:lang w:val="en-US" w:eastAsia="en-US"/>
        </w:rPr>
      </w:pPr>
      <w:r w:rsidRPr="00AC02BF">
        <w:rPr>
          <w:rFonts w:eastAsia="Calibri" w:cs="Arial"/>
          <w:b/>
          <w:sz w:val="20"/>
          <w:szCs w:val="20"/>
          <w:bdr w:val="nil"/>
          <w:lang w:val="en-US" w:eastAsia="en-US"/>
        </w:rPr>
        <w:lastRenderedPageBreak/>
        <w:t xml:space="preserve">10 – </w:t>
      </w:r>
      <w:r>
        <w:rPr>
          <w:rFonts w:eastAsia="Calibri" w:cs="Arial"/>
          <w:b/>
          <w:sz w:val="20"/>
          <w:szCs w:val="20"/>
          <w:bdr w:val="nil"/>
          <w:lang w:val="en-US" w:eastAsia="en-US"/>
        </w:rPr>
        <w:t>INTANGÍVEL</w:t>
      </w:r>
    </w:p>
    <w:tbl>
      <w:tblPr>
        <w:tblW w:w="9480" w:type="dxa"/>
        <w:tblLayout w:type="fixed"/>
        <w:tblLook w:val="0600" w:firstRow="0" w:lastRow="0" w:firstColumn="0" w:lastColumn="0" w:noHBand="1" w:noVBand="1"/>
        <w:tblCaption w:val="NEINTANGIVEL"/>
      </w:tblPr>
      <w:tblGrid>
        <w:gridCol w:w="3450"/>
        <w:gridCol w:w="1350"/>
        <w:gridCol w:w="1200"/>
        <w:gridCol w:w="1200"/>
        <w:gridCol w:w="1140"/>
        <w:gridCol w:w="1140"/>
      </w:tblGrid>
      <w:tr w:rsidR="00566CE2">
        <w:trPr>
          <w:cantSplit/>
          <w:trHeight w:hRule="exact" w:val="270"/>
        </w:trPr>
        <w:tc>
          <w:tcPr>
            <w:tcW w:w="3450" w:type="dxa"/>
            <w:tcBorders>
              <w:top w:val="nil"/>
              <w:left w:val="nil"/>
              <w:bottom w:val="single" w:sz="8" w:space="0" w:color="000000"/>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1350" w:type="dxa"/>
            <w:tcBorders>
              <w:top w:val="nil"/>
              <w:left w:val="nil"/>
              <w:bottom w:val="single" w:sz="8" w:space="0" w:color="000000"/>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1200" w:type="dxa"/>
            <w:tcBorders>
              <w:top w:val="nil"/>
              <w:left w:val="nil"/>
              <w:bottom w:val="single" w:sz="8" w:space="0" w:color="000000"/>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1200" w:type="dxa"/>
            <w:tcBorders>
              <w:top w:val="nil"/>
              <w:left w:val="nil"/>
              <w:bottom w:val="single" w:sz="8" w:space="0" w:color="000000"/>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1140" w:type="dxa"/>
            <w:tcBorders>
              <w:top w:val="nil"/>
              <w:left w:val="nil"/>
              <w:bottom w:val="single" w:sz="8" w:space="0" w:color="000000"/>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1140" w:type="dxa"/>
            <w:tcBorders>
              <w:top w:val="nil"/>
              <w:left w:val="nil"/>
              <w:bottom w:val="single" w:sz="8" w:space="0" w:color="000000"/>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3450" w:type="dxa"/>
            <w:vMerge w:val="restart"/>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Intangível</w:t>
            </w:r>
          </w:p>
        </w:tc>
        <w:tc>
          <w:tcPr>
            <w:tcW w:w="1350" w:type="dxa"/>
            <w:vMerge w:val="restart"/>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Taxa Anual de Amortização %</w:t>
            </w:r>
          </w:p>
        </w:tc>
        <w:tc>
          <w:tcPr>
            <w:tcW w:w="1200" w:type="dxa"/>
            <w:vMerge w:val="restart"/>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Custo de Aquisição</w:t>
            </w:r>
          </w:p>
        </w:tc>
        <w:tc>
          <w:tcPr>
            <w:tcW w:w="1200" w:type="dxa"/>
            <w:vMerge w:val="restart"/>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Amortização Acumulada</w:t>
            </w:r>
          </w:p>
        </w:tc>
        <w:tc>
          <w:tcPr>
            <w:tcW w:w="114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31.12.2019</w:t>
            </w:r>
          </w:p>
        </w:tc>
        <w:tc>
          <w:tcPr>
            <w:tcW w:w="114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31.12.2018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5"/>
        </w:trPr>
        <w:tc>
          <w:tcPr>
            <w:tcW w:w="3450" w:type="dxa"/>
            <w:vMerge/>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spacing w:before="0" w:after="0" w:line="240" w:lineRule="auto"/>
              <w:jc w:val="center"/>
              <w:rPr>
                <w:rFonts w:eastAsia="Arial" w:cs="Arial"/>
                <w:b/>
                <w:color w:val="000000"/>
                <w:sz w:val="16"/>
                <w:szCs w:val="22"/>
                <w:bdr w:val="nil"/>
                <w:lang w:val="en-US" w:eastAsia="en-US"/>
              </w:rPr>
            </w:pPr>
          </w:p>
        </w:tc>
        <w:tc>
          <w:tcPr>
            <w:tcW w:w="1350" w:type="dxa"/>
            <w:vMerge/>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spacing w:before="0" w:after="0" w:line="240" w:lineRule="auto"/>
              <w:jc w:val="right"/>
              <w:rPr>
                <w:rFonts w:eastAsia="Arial" w:cs="Arial"/>
                <w:b/>
                <w:color w:val="000000"/>
                <w:sz w:val="16"/>
                <w:szCs w:val="22"/>
                <w:bdr w:val="nil"/>
                <w:lang w:val="en-US" w:eastAsia="en-US"/>
              </w:rPr>
            </w:pPr>
          </w:p>
        </w:tc>
        <w:tc>
          <w:tcPr>
            <w:tcW w:w="1200" w:type="dxa"/>
            <w:vMerge/>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spacing w:before="0" w:after="0" w:line="240" w:lineRule="auto"/>
              <w:jc w:val="right"/>
              <w:rPr>
                <w:rFonts w:eastAsia="Arial" w:cs="Arial"/>
                <w:b/>
                <w:color w:val="000000"/>
                <w:sz w:val="16"/>
                <w:szCs w:val="22"/>
                <w:bdr w:val="nil"/>
                <w:lang w:val="en-US" w:eastAsia="en-US"/>
              </w:rPr>
            </w:pPr>
          </w:p>
        </w:tc>
        <w:tc>
          <w:tcPr>
            <w:tcW w:w="1200" w:type="dxa"/>
            <w:vMerge/>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spacing w:before="0" w:after="0" w:line="240" w:lineRule="auto"/>
              <w:jc w:val="right"/>
              <w:rPr>
                <w:rFonts w:eastAsia="Arial" w:cs="Arial"/>
                <w:b/>
                <w:color w:val="000000"/>
                <w:sz w:val="16"/>
                <w:szCs w:val="22"/>
                <w:bdr w:val="nil"/>
                <w:lang w:val="en-US" w:eastAsia="en-US"/>
              </w:rPr>
            </w:pPr>
          </w:p>
        </w:tc>
        <w:tc>
          <w:tcPr>
            <w:tcW w:w="114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Saldo Contábil</w:t>
            </w:r>
          </w:p>
        </w:tc>
        <w:tc>
          <w:tcPr>
            <w:tcW w:w="114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Saldo Contábil</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3450"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Software adquirido</w:t>
            </w:r>
          </w:p>
        </w:tc>
        <w:tc>
          <w:tcPr>
            <w:tcW w:w="1350"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r>
              <w:rPr>
                <w:rFonts w:eastAsia="Arial" w:cs="Arial"/>
                <w:color w:val="000000"/>
                <w:sz w:val="16"/>
                <w:szCs w:val="22"/>
                <w:bdr w:val="nil"/>
                <w:lang w:val="en-US" w:eastAsia="en-US"/>
              </w:rPr>
              <w:t>20</w:t>
            </w:r>
          </w:p>
        </w:tc>
        <w:tc>
          <w:tcPr>
            <w:tcW w:w="1200" w:type="dxa"/>
            <w:tcBorders>
              <w:top w:val="single" w:sz="8" w:space="0" w:color="000000"/>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2.342</w:t>
            </w:r>
          </w:p>
        </w:tc>
        <w:tc>
          <w:tcPr>
            <w:tcW w:w="1200"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(614)</w:t>
            </w:r>
          </w:p>
        </w:tc>
        <w:tc>
          <w:tcPr>
            <w:tcW w:w="1140" w:type="dxa"/>
            <w:tcBorders>
              <w:top w:val="single" w:sz="8" w:space="0" w:color="000000"/>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1.728</w:t>
            </w:r>
          </w:p>
        </w:tc>
        <w:tc>
          <w:tcPr>
            <w:tcW w:w="1140" w:type="dxa"/>
            <w:tcBorders>
              <w:top w:val="single" w:sz="8" w:space="0" w:color="000000"/>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2.026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3450"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b/>
                <w:color w:val="000000"/>
                <w:sz w:val="16"/>
                <w:szCs w:val="22"/>
                <w:bdr w:val="nil"/>
                <w:lang w:val="en-US" w:eastAsia="en-US"/>
              </w:rPr>
            </w:pPr>
            <w:r>
              <w:rPr>
                <w:rFonts w:eastAsia="Arial" w:cs="Arial"/>
                <w:b/>
                <w:color w:val="000000"/>
                <w:sz w:val="16"/>
                <w:szCs w:val="22"/>
                <w:bdr w:val="nil"/>
                <w:lang w:val="en-US" w:eastAsia="en-US"/>
              </w:rPr>
              <w:t>Total</w:t>
            </w:r>
          </w:p>
        </w:tc>
        <w:tc>
          <w:tcPr>
            <w:tcW w:w="13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val="en-US" w:eastAsia="en-US"/>
              </w:rPr>
            </w:pPr>
          </w:p>
        </w:tc>
        <w:tc>
          <w:tcPr>
            <w:tcW w:w="1200" w:type="dxa"/>
            <w:tcBorders>
              <w:top w:val="nil"/>
              <w:left w:val="nil"/>
              <w:bottom w:val="single" w:sz="8" w:space="0" w:color="000000"/>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2.342</w:t>
            </w:r>
          </w:p>
        </w:tc>
        <w:tc>
          <w:tcPr>
            <w:tcW w:w="1200"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(614)</w:t>
            </w:r>
          </w:p>
        </w:tc>
        <w:tc>
          <w:tcPr>
            <w:tcW w:w="1140" w:type="dxa"/>
            <w:tcBorders>
              <w:top w:val="nil"/>
              <w:left w:val="nil"/>
              <w:bottom w:val="single" w:sz="8" w:space="0" w:color="000000"/>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1.728</w:t>
            </w:r>
          </w:p>
        </w:tc>
        <w:tc>
          <w:tcPr>
            <w:tcW w:w="1140" w:type="dxa"/>
            <w:tcBorders>
              <w:top w:val="nil"/>
              <w:left w:val="nil"/>
              <w:bottom w:val="single" w:sz="8" w:space="0" w:color="000000"/>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2.026</w:t>
            </w:r>
          </w:p>
        </w:tc>
      </w:tr>
    </w:tbl>
    <w:p w:rsidR="00566CE2" w:rsidRDefault="00566CE2">
      <w:pPr>
        <w:pBdr>
          <w:top w:val="nil"/>
          <w:left w:val="nil"/>
          <w:bottom w:val="nil"/>
          <w:right w:val="nil"/>
          <w:between w:val="nil"/>
          <w:bar w:val="nil"/>
        </w:pBdr>
        <w:spacing w:before="0" w:after="200"/>
        <w:jc w:val="left"/>
        <w:rPr>
          <w:sz w:val="22"/>
          <w:szCs w:val="22"/>
          <w:bdr w:val="nil"/>
          <w:lang w:eastAsia="en-US"/>
        </w:rPr>
      </w:pPr>
    </w:p>
    <w:p w:rsidR="00065D31" w:rsidRDefault="00A82039" w:rsidP="00D95004">
      <w:pPr>
        <w:pStyle w:val="02-TtulodeNota"/>
        <w:pBdr>
          <w:top w:val="nil"/>
          <w:left w:val="nil"/>
          <w:bottom w:val="nil"/>
          <w:right w:val="nil"/>
          <w:between w:val="nil"/>
          <w:bar w:val="nil"/>
        </w:pBdr>
        <w:spacing w:after="0" w:line="276" w:lineRule="auto"/>
        <w:rPr>
          <w:rFonts w:cs="Times New Roman"/>
          <w:color w:val="auto"/>
          <w:bdr w:val="nil"/>
        </w:rPr>
      </w:pPr>
      <w:r w:rsidRPr="00693334">
        <w:rPr>
          <w:rFonts w:cs="Times New Roman"/>
          <w:color w:val="auto"/>
          <w:szCs w:val="20"/>
          <w:bdr w:val="nil"/>
        </w:rPr>
        <w:t>11</w:t>
      </w:r>
      <w:r>
        <w:rPr>
          <w:rFonts w:cs="Times New Roman"/>
          <w:color w:val="auto"/>
          <w:szCs w:val="20"/>
          <w:bdr w:val="nil"/>
        </w:rPr>
        <w:t xml:space="preserve"> - Outras OBRIGAÇÕES</w:t>
      </w:r>
    </w:p>
    <w:p w:rsidR="00BD16AE" w:rsidRPr="00BD16AE" w:rsidRDefault="00BD16AE" w:rsidP="00D95004">
      <w:pPr>
        <w:pStyle w:val="07-Legenda"/>
        <w:keepNext/>
        <w:pBdr>
          <w:top w:val="nil"/>
          <w:left w:val="nil"/>
          <w:bottom w:val="nil"/>
          <w:right w:val="nil"/>
          <w:between w:val="nil"/>
          <w:bar w:val="nil"/>
        </w:pBdr>
        <w:spacing w:before="0"/>
        <w:rPr>
          <w:bdr w:val="nil"/>
        </w:rPr>
      </w:pPr>
    </w:p>
    <w:p w:rsidR="00065D31" w:rsidRPr="00E85A5B" w:rsidRDefault="00A82039" w:rsidP="00D95004">
      <w:pPr>
        <w:pStyle w:val="PargrafodaLista"/>
        <w:keepNext/>
        <w:numPr>
          <w:ilvl w:val="0"/>
          <w:numId w:val="10"/>
        </w:numPr>
        <w:pBdr>
          <w:top w:val="nil"/>
          <w:left w:val="nil"/>
          <w:bottom w:val="nil"/>
          <w:right w:val="nil"/>
          <w:between w:val="nil"/>
          <w:bar w:val="nil"/>
        </w:pBdr>
        <w:ind w:left="357" w:hanging="357"/>
        <w:rPr>
          <w:rFonts w:ascii="Arial" w:hAnsi="Arial" w:cs="Arial"/>
          <w:b/>
          <w:sz w:val="18"/>
          <w:szCs w:val="18"/>
          <w:bdr w:val="nil"/>
        </w:rPr>
      </w:pPr>
      <w:r w:rsidRPr="00E85A5B">
        <w:rPr>
          <w:rFonts w:ascii="Arial" w:hAnsi="Arial" w:cs="Arial"/>
          <w:b/>
          <w:sz w:val="18"/>
          <w:szCs w:val="18"/>
          <w:bdr w:val="nil"/>
        </w:rPr>
        <w:t>Sociais e Estatutárias</w:t>
      </w:r>
    </w:p>
    <w:tbl>
      <w:tblPr>
        <w:tblW w:w="9705" w:type="dxa"/>
        <w:tblLayout w:type="fixed"/>
        <w:tblLook w:val="0600" w:firstRow="0" w:lastRow="0" w:firstColumn="0" w:lastColumn="0" w:noHBand="1" w:noVBand="1"/>
        <w:tblCaption w:val="NotaExplicativa10a"/>
      </w:tblPr>
      <w:tblGrid>
        <w:gridCol w:w="6405"/>
        <w:gridCol w:w="1650"/>
        <w:gridCol w:w="1650"/>
      </w:tblGrid>
      <w:tr w:rsidR="00566CE2">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1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Dividendos a pagar</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199.565</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126.975</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Gratificações e participações a pagar</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1.717</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1.313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Provisão para participações nos lucros</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827</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565</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202.109</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128.853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nil"/>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Passivo circulante</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202.109</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128.853</w:t>
            </w:r>
          </w:p>
        </w:tc>
      </w:tr>
    </w:tbl>
    <w:p w:rsidR="006C0FAF" w:rsidRPr="00593D4D" w:rsidRDefault="006C0FAF" w:rsidP="006C0FAF">
      <w:pPr>
        <w:pStyle w:val="07-Legenda"/>
        <w:keepLines w:val="0"/>
        <w:pBdr>
          <w:top w:val="nil"/>
          <w:left w:val="nil"/>
          <w:bottom w:val="nil"/>
          <w:right w:val="nil"/>
          <w:between w:val="nil"/>
          <w:bar w:val="nil"/>
        </w:pBdr>
        <w:spacing w:before="0" w:line="240" w:lineRule="auto"/>
        <w:rPr>
          <w:sz w:val="20"/>
          <w:bdr w:val="nil"/>
        </w:rPr>
      </w:pPr>
    </w:p>
    <w:p w:rsidR="00065D31" w:rsidRPr="00E85A5B" w:rsidRDefault="00A82039" w:rsidP="00D95004">
      <w:pPr>
        <w:pStyle w:val="PargrafodaLista"/>
        <w:keepNext/>
        <w:numPr>
          <w:ilvl w:val="0"/>
          <w:numId w:val="10"/>
        </w:numPr>
        <w:pBdr>
          <w:top w:val="nil"/>
          <w:left w:val="nil"/>
          <w:bottom w:val="nil"/>
          <w:right w:val="nil"/>
          <w:between w:val="nil"/>
          <w:bar w:val="nil"/>
        </w:pBdr>
        <w:ind w:left="357" w:hanging="357"/>
        <w:rPr>
          <w:rFonts w:ascii="Arial" w:hAnsi="Arial" w:cs="Arial"/>
          <w:b/>
          <w:sz w:val="18"/>
          <w:szCs w:val="18"/>
          <w:bdr w:val="nil"/>
        </w:rPr>
      </w:pPr>
      <w:r w:rsidRPr="00E85A5B">
        <w:rPr>
          <w:rFonts w:ascii="Arial" w:hAnsi="Arial" w:cs="Arial"/>
          <w:b/>
          <w:sz w:val="18"/>
          <w:szCs w:val="18"/>
          <w:bdr w:val="nil"/>
        </w:rPr>
        <w:t>Fiscais e Previdenciárias</w:t>
      </w:r>
    </w:p>
    <w:tbl>
      <w:tblPr>
        <w:tblW w:w="9705" w:type="dxa"/>
        <w:tblLayout w:type="fixed"/>
        <w:tblLook w:val="0600" w:firstRow="0" w:lastRow="0" w:firstColumn="0" w:lastColumn="0" w:noHBand="1" w:noVBand="1"/>
        <w:tblCaption w:val="NotaExplicativa10b"/>
      </w:tblPr>
      <w:tblGrid>
        <w:gridCol w:w="6405"/>
        <w:gridCol w:w="1650"/>
        <w:gridCol w:w="1650"/>
      </w:tblGrid>
      <w:tr w:rsidR="00566CE2">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Impostos e contribuições sobre o lucro a pagar</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34.212</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11.616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5"/>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Impostos e contribuições a recolher</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4.407</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2.976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5"/>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38.619</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14.592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5"/>
        </w:trPr>
        <w:tc>
          <w:tcPr>
            <w:tcW w:w="6405"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Passivo circulante</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38.619</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14.592</w:t>
            </w:r>
          </w:p>
        </w:tc>
      </w:tr>
    </w:tbl>
    <w:p w:rsidR="00CD0F5C" w:rsidRPr="00593D4D" w:rsidRDefault="00CD0F5C" w:rsidP="00DC4D6A">
      <w:pPr>
        <w:pStyle w:val="07-Legenda"/>
        <w:keepLines w:val="0"/>
        <w:pBdr>
          <w:top w:val="nil"/>
          <w:left w:val="nil"/>
          <w:bottom w:val="nil"/>
          <w:right w:val="nil"/>
          <w:between w:val="nil"/>
          <w:bar w:val="nil"/>
        </w:pBdr>
        <w:spacing w:before="0"/>
        <w:rPr>
          <w:sz w:val="20"/>
          <w:bdr w:val="nil"/>
        </w:rPr>
      </w:pPr>
    </w:p>
    <w:p w:rsidR="00065D31" w:rsidRPr="00E85A5B" w:rsidRDefault="00A82039" w:rsidP="00D95004">
      <w:pPr>
        <w:pStyle w:val="PargrafodaLista"/>
        <w:keepNext/>
        <w:numPr>
          <w:ilvl w:val="0"/>
          <w:numId w:val="10"/>
        </w:numPr>
        <w:pBdr>
          <w:top w:val="nil"/>
          <w:left w:val="nil"/>
          <w:bottom w:val="nil"/>
          <w:right w:val="nil"/>
          <w:between w:val="nil"/>
          <w:bar w:val="nil"/>
        </w:pBdr>
        <w:ind w:left="357" w:hanging="357"/>
        <w:rPr>
          <w:rFonts w:ascii="Arial" w:hAnsi="Arial" w:cs="Arial"/>
          <w:b/>
          <w:sz w:val="18"/>
          <w:szCs w:val="18"/>
          <w:bdr w:val="nil"/>
        </w:rPr>
      </w:pPr>
      <w:r w:rsidRPr="00E85A5B">
        <w:rPr>
          <w:rFonts w:ascii="Arial" w:hAnsi="Arial" w:cs="Arial"/>
          <w:b/>
          <w:sz w:val="18"/>
          <w:szCs w:val="18"/>
          <w:bdr w:val="nil"/>
        </w:rPr>
        <w:t>Diversas</w:t>
      </w:r>
    </w:p>
    <w:tbl>
      <w:tblPr>
        <w:tblW w:w="9705" w:type="dxa"/>
        <w:tblLayout w:type="fixed"/>
        <w:tblLook w:val="0600" w:firstRow="0" w:lastRow="0" w:firstColumn="0" w:lastColumn="0" w:noHBand="1" w:noVBand="1"/>
        <w:tblCaption w:val="NotaExplicativa10c"/>
      </w:tblPr>
      <w:tblGrid>
        <w:gridCol w:w="5805"/>
        <w:gridCol w:w="600"/>
        <w:gridCol w:w="1650"/>
        <w:gridCol w:w="1650"/>
      </w:tblGrid>
      <w:tr w:rsidR="00566CE2">
        <w:trPr>
          <w:cantSplit/>
          <w:trHeight w:val="270"/>
        </w:trPr>
        <w:tc>
          <w:tcPr>
            <w:tcW w:w="5805"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60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58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60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Nota</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 xml:space="preserve">Provisão para passivos contingentes         </w:t>
            </w:r>
          </w:p>
        </w:tc>
        <w:tc>
          <w:tcPr>
            <w:tcW w:w="600"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19.b</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29.527</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23.277</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Provisão para pagamentos a efetuar</w:t>
            </w:r>
          </w:p>
        </w:tc>
        <w:tc>
          <w:tcPr>
            <w:tcW w:w="600"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8.271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4.046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 xml:space="preserve">Pagamento de clientes a processar </w:t>
            </w:r>
          </w:p>
        </w:tc>
        <w:tc>
          <w:tcPr>
            <w:tcW w:w="600"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1.888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1.021</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Valores a pagar a sociedades ligadas</w:t>
            </w:r>
          </w:p>
        </w:tc>
        <w:tc>
          <w:tcPr>
            <w:tcW w:w="600"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1.075</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633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 xml:space="preserve">Outros </w:t>
            </w:r>
          </w:p>
        </w:tc>
        <w:tc>
          <w:tcPr>
            <w:tcW w:w="600"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1.100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1.049</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600"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41.861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30.026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5805" w:type="dxa"/>
            <w:tcBorders>
              <w:top w:val="nil"/>
              <w:left w:val="nil"/>
              <w:bottom w:val="nil"/>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600" w:type="dxa"/>
            <w:tcBorders>
              <w:top w:val="nil"/>
              <w:left w:val="nil"/>
              <w:bottom w:val="nil"/>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Passivo circulante</w:t>
            </w:r>
          </w:p>
        </w:tc>
        <w:tc>
          <w:tcPr>
            <w:tcW w:w="60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41.861</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30.026</w:t>
            </w:r>
          </w:p>
        </w:tc>
      </w:tr>
    </w:tbl>
    <w:p w:rsidR="00566CE2" w:rsidRDefault="00566CE2">
      <w:pPr>
        <w:pBdr>
          <w:top w:val="nil"/>
          <w:left w:val="nil"/>
          <w:bottom w:val="nil"/>
          <w:right w:val="nil"/>
          <w:between w:val="nil"/>
          <w:bar w:val="nil"/>
        </w:pBdr>
        <w:spacing w:before="0" w:after="200"/>
        <w:jc w:val="left"/>
        <w:rPr>
          <w:sz w:val="22"/>
          <w:szCs w:val="22"/>
          <w:bdr w:val="nil"/>
          <w:lang w:eastAsia="en-US"/>
        </w:rPr>
      </w:pPr>
    </w:p>
    <w:p w:rsidR="00C81471" w:rsidRDefault="00A82039" w:rsidP="00732A9A">
      <w:pPr>
        <w:pStyle w:val="02-TtulodeNota"/>
        <w:pBdr>
          <w:top w:val="nil"/>
          <w:left w:val="nil"/>
          <w:bottom w:val="nil"/>
          <w:right w:val="nil"/>
          <w:between w:val="nil"/>
          <w:bar w:val="nil"/>
        </w:pBdr>
        <w:spacing w:after="0" w:line="276" w:lineRule="auto"/>
        <w:ind w:left="0" w:firstLine="0"/>
        <w:rPr>
          <w:rFonts w:cs="Times New Roman"/>
          <w:color w:val="auto"/>
          <w:bdr w:val="nil"/>
        </w:rPr>
      </w:pPr>
      <w:r w:rsidRPr="00732A9A">
        <w:rPr>
          <w:rFonts w:cs="Times New Roman"/>
          <w:szCs w:val="20"/>
          <w:bdr w:val="nil"/>
        </w:rPr>
        <w:lastRenderedPageBreak/>
        <w:t>12</w:t>
      </w:r>
      <w:r>
        <w:rPr>
          <w:rFonts w:cs="Times New Roman"/>
          <w:szCs w:val="20"/>
          <w:bdr w:val="nil"/>
        </w:rPr>
        <w:t xml:space="preserve"> - </w:t>
      </w:r>
      <w:r>
        <w:rPr>
          <w:rFonts w:cs="Times New Roman"/>
          <w:color w:val="auto"/>
          <w:szCs w:val="20"/>
          <w:bdr w:val="nil"/>
        </w:rPr>
        <w:t>Receita operacional líquida</w:t>
      </w:r>
    </w:p>
    <w:tbl>
      <w:tblPr>
        <w:tblW w:w="9705" w:type="dxa"/>
        <w:tblLayout w:type="fixed"/>
        <w:tblLook w:val="0600" w:firstRow="0" w:lastRow="0" w:firstColumn="0" w:lastColumn="0" w:noHBand="1" w:noVBand="1"/>
        <w:tblCaption w:val="NERECEITAOPELIQUIDARecOperLiq"/>
      </w:tblPr>
      <w:tblGrid>
        <w:gridCol w:w="6405"/>
        <w:gridCol w:w="1650"/>
        <w:gridCol w:w="1650"/>
      </w:tblGrid>
      <w:tr w:rsidR="00566CE2">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Receita Bruta de Serviços</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785.555</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592.608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Receita de recebimento de créditos </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785.555</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592.608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Deduções da Receita Bruta</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(35.247)</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(27.062)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Despesas de PIS/Pasep e Cofins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(35.247)</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(27.062)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Receita Operacional Líquida</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750.308</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565.546</w:t>
            </w:r>
          </w:p>
        </w:tc>
      </w:tr>
    </w:tbl>
    <w:p w:rsidR="00566CE2" w:rsidRDefault="00566CE2">
      <w:pPr>
        <w:pBdr>
          <w:top w:val="nil"/>
          <w:left w:val="nil"/>
          <w:bottom w:val="nil"/>
          <w:right w:val="nil"/>
          <w:between w:val="nil"/>
          <w:bar w:val="nil"/>
        </w:pBdr>
        <w:spacing w:before="0" w:after="200"/>
        <w:jc w:val="left"/>
        <w:rPr>
          <w:sz w:val="22"/>
          <w:szCs w:val="22"/>
          <w:bdr w:val="nil"/>
          <w:lang w:eastAsia="en-US"/>
        </w:rPr>
      </w:pPr>
    </w:p>
    <w:p w:rsidR="00533F70" w:rsidRDefault="00A82039" w:rsidP="00625B8B">
      <w:pPr>
        <w:pStyle w:val="02-TtulodeNota"/>
        <w:widowControl/>
        <w:pBdr>
          <w:top w:val="nil"/>
          <w:left w:val="nil"/>
          <w:bottom w:val="nil"/>
          <w:right w:val="nil"/>
          <w:between w:val="nil"/>
          <w:bar w:val="nil"/>
        </w:pBdr>
        <w:spacing w:after="0" w:line="276" w:lineRule="auto"/>
        <w:rPr>
          <w:rFonts w:cs="Times New Roman"/>
          <w:color w:val="auto"/>
          <w:bdr w:val="nil"/>
        </w:rPr>
      </w:pPr>
      <w:r w:rsidRPr="00C01DDF">
        <w:rPr>
          <w:rFonts w:cs="Times New Roman"/>
          <w:szCs w:val="20"/>
          <w:bdr w:val="nil"/>
        </w:rPr>
        <w:t>13</w:t>
      </w:r>
      <w:r>
        <w:rPr>
          <w:rFonts w:cs="Times New Roman"/>
          <w:szCs w:val="20"/>
          <w:bdr w:val="nil"/>
        </w:rPr>
        <w:t xml:space="preserve"> - </w:t>
      </w:r>
      <w:r>
        <w:rPr>
          <w:rFonts w:cs="Times New Roman"/>
          <w:color w:val="auto"/>
          <w:szCs w:val="20"/>
          <w:bdr w:val="nil"/>
        </w:rPr>
        <w:t>Outras receitas / (despesas) operacionais</w:t>
      </w:r>
    </w:p>
    <w:p w:rsidR="00601B61" w:rsidRPr="00601B61" w:rsidRDefault="00601B61" w:rsidP="00625B8B">
      <w:pPr>
        <w:pStyle w:val="07-Legenda"/>
        <w:keepNext/>
        <w:keepLines w:val="0"/>
        <w:pBdr>
          <w:top w:val="nil"/>
          <w:left w:val="nil"/>
          <w:bottom w:val="nil"/>
          <w:right w:val="nil"/>
          <w:between w:val="nil"/>
          <w:bar w:val="nil"/>
        </w:pBdr>
        <w:spacing w:before="0"/>
        <w:rPr>
          <w:bdr w:val="nil"/>
        </w:rPr>
      </w:pPr>
    </w:p>
    <w:p w:rsidR="00533F70" w:rsidRPr="00EB4437" w:rsidRDefault="00A82039" w:rsidP="00625B8B">
      <w:pPr>
        <w:pStyle w:val="PargrafodaLista"/>
        <w:keepNext/>
        <w:numPr>
          <w:ilvl w:val="0"/>
          <w:numId w:val="11"/>
        </w:numPr>
        <w:pBdr>
          <w:top w:val="nil"/>
          <w:left w:val="nil"/>
          <w:bottom w:val="nil"/>
          <w:right w:val="nil"/>
          <w:between w:val="nil"/>
          <w:bar w:val="nil"/>
        </w:pBdr>
        <w:rPr>
          <w:rFonts w:ascii="Arial" w:hAnsi="Arial" w:cs="Arial"/>
          <w:b/>
          <w:sz w:val="18"/>
          <w:szCs w:val="18"/>
          <w:bdr w:val="nil"/>
        </w:rPr>
      </w:pPr>
      <w:r w:rsidRPr="00EB4437">
        <w:rPr>
          <w:rFonts w:ascii="Arial" w:hAnsi="Arial" w:cs="Arial"/>
          <w:b/>
          <w:sz w:val="18"/>
          <w:szCs w:val="18"/>
          <w:bdr w:val="nil"/>
        </w:rPr>
        <w:t>Despesas de Serviços de Cobrança</w:t>
      </w:r>
    </w:p>
    <w:tbl>
      <w:tblPr>
        <w:tblW w:w="9705" w:type="dxa"/>
        <w:tblLayout w:type="fixed"/>
        <w:tblLook w:val="0600" w:firstRow="0" w:lastRow="0" w:firstColumn="0" w:lastColumn="0" w:noHBand="1" w:noVBand="1"/>
        <w:tblCaption w:val="NEOUTRASRECDESPDespComis"/>
      </w:tblPr>
      <w:tblGrid>
        <w:gridCol w:w="6405"/>
        <w:gridCol w:w="1650"/>
        <w:gridCol w:w="1650"/>
      </w:tblGrid>
      <w:tr w:rsidR="00566CE2">
        <w:trPr>
          <w:cantSplit/>
          <w:trHeight w:val="240"/>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Comissões de recebimentos de créditos </w:t>
            </w:r>
            <w:r>
              <w:rPr>
                <w:rFonts w:eastAsia="Arial" w:cs="Arial"/>
                <w:color w:val="000000"/>
                <w:sz w:val="16"/>
                <w:szCs w:val="22"/>
                <w:bdr w:val="nil"/>
                <w:vertAlign w:val="superscript"/>
                <w:lang w:eastAsia="en-US"/>
              </w:rPr>
              <w:t>(1)</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(116.398)</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(77.347)</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Despesas gerais </w:t>
            </w:r>
            <w:r>
              <w:rPr>
                <w:rFonts w:eastAsia="Arial" w:cs="Arial"/>
                <w:color w:val="000000"/>
                <w:sz w:val="16"/>
                <w:szCs w:val="22"/>
                <w:bdr w:val="nil"/>
                <w:vertAlign w:val="superscript"/>
                <w:lang w:eastAsia="en-US"/>
              </w:rPr>
              <w:t>(2)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(32.216)</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(28.475)</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Reembolso por cessão de operações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(148.695)</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(105.914)</w:t>
            </w:r>
          </w:p>
        </w:tc>
      </w:tr>
    </w:tbl>
    <w:p w:rsidR="003013D8" w:rsidRDefault="00A82039" w:rsidP="00625B8B">
      <w:pPr>
        <w:pStyle w:val="07-Legenda"/>
        <w:keepNext/>
        <w:keepLines w:val="0"/>
        <w:pBdr>
          <w:top w:val="nil"/>
          <w:left w:val="nil"/>
          <w:bottom w:val="nil"/>
          <w:right w:val="nil"/>
          <w:between w:val="nil"/>
          <w:bar w:val="nil"/>
        </w:pBdr>
        <w:spacing w:before="0"/>
        <w:rPr>
          <w:bdr w:val="nil"/>
        </w:rPr>
      </w:pPr>
      <w:r>
        <w:rPr>
          <w:bdr w:val="nil"/>
        </w:rPr>
        <w:t>(1)</w:t>
      </w:r>
      <w:r>
        <w:rPr>
          <w:bdr w:val="nil"/>
        </w:rPr>
        <w:tab/>
        <w:t>Referem-se às comissões pagas às empresas prestadoras de serviços de cobrança, conforme critérios definidos em contratos.</w:t>
      </w:r>
    </w:p>
    <w:p w:rsidR="00561060" w:rsidRDefault="00A82039" w:rsidP="00596103">
      <w:pPr>
        <w:pStyle w:val="07-Legenda"/>
        <w:keepLines w:val="0"/>
        <w:pBdr>
          <w:top w:val="nil"/>
          <w:left w:val="nil"/>
          <w:bottom w:val="nil"/>
          <w:right w:val="nil"/>
          <w:between w:val="nil"/>
          <w:bar w:val="nil"/>
        </w:pBdr>
        <w:rPr>
          <w:bdr w:val="nil"/>
        </w:rPr>
      </w:pPr>
      <w:r>
        <w:rPr>
          <w:bdr w:val="nil"/>
        </w:rPr>
        <w:t>(2)</w:t>
      </w:r>
      <w:r>
        <w:rPr>
          <w:bdr w:val="nil"/>
        </w:rPr>
        <w:tab/>
        <w:t>Referem-se às despesas vinculadas ao pagamento de empresas prestadoras de serviços de emissão de carta boleto e cobrança receptiva (</w:t>
      </w:r>
      <w:r w:rsidRPr="00082C1D">
        <w:rPr>
          <w:i/>
          <w:bdr w:val="nil"/>
        </w:rPr>
        <w:t>call center</w:t>
      </w:r>
      <w:r>
        <w:rPr>
          <w:i/>
          <w:bdr w:val="nil"/>
        </w:rPr>
        <w:t>)</w:t>
      </w:r>
      <w:r>
        <w:rPr>
          <w:bdr w:val="nil"/>
        </w:rPr>
        <w:t>.</w:t>
      </w:r>
    </w:p>
    <w:p w:rsidR="000C0FAD" w:rsidRDefault="000C0FAD" w:rsidP="005B6DB3">
      <w:pPr>
        <w:pStyle w:val="07-Legenda"/>
        <w:pBdr>
          <w:top w:val="nil"/>
          <w:left w:val="nil"/>
          <w:bottom w:val="nil"/>
          <w:right w:val="nil"/>
          <w:between w:val="nil"/>
          <w:bar w:val="nil"/>
        </w:pBdr>
        <w:rPr>
          <w:bdr w:val="nil"/>
        </w:rPr>
      </w:pPr>
    </w:p>
    <w:p w:rsidR="003013D8" w:rsidRPr="00EB4437" w:rsidRDefault="00A82039" w:rsidP="00625B8B">
      <w:pPr>
        <w:pStyle w:val="PargrafodaLista"/>
        <w:keepNext/>
        <w:numPr>
          <w:ilvl w:val="0"/>
          <w:numId w:val="11"/>
        </w:numPr>
        <w:pBdr>
          <w:top w:val="nil"/>
          <w:left w:val="nil"/>
          <w:bottom w:val="nil"/>
          <w:right w:val="nil"/>
          <w:between w:val="nil"/>
          <w:bar w:val="nil"/>
        </w:pBdr>
        <w:rPr>
          <w:rFonts w:ascii="Arial" w:hAnsi="Arial" w:cs="Arial"/>
          <w:b/>
          <w:sz w:val="18"/>
          <w:szCs w:val="18"/>
          <w:bdr w:val="nil"/>
        </w:rPr>
      </w:pPr>
      <w:r w:rsidRPr="00EB4437">
        <w:rPr>
          <w:rFonts w:ascii="Arial" w:hAnsi="Arial" w:cs="Arial"/>
          <w:b/>
          <w:sz w:val="18"/>
          <w:szCs w:val="18"/>
          <w:bdr w:val="nil"/>
        </w:rPr>
        <w:t>Despesas Administrativas</w:t>
      </w:r>
    </w:p>
    <w:tbl>
      <w:tblPr>
        <w:tblW w:w="9705" w:type="dxa"/>
        <w:tblLayout w:type="fixed"/>
        <w:tblLook w:val="0600" w:firstRow="0" w:lastRow="0" w:firstColumn="0" w:lastColumn="0" w:noHBand="1" w:noVBand="1"/>
        <w:tblCaption w:val="NEOUTRASRECDESPDespAdm"/>
      </w:tblPr>
      <w:tblGrid>
        <w:gridCol w:w="6405"/>
        <w:gridCol w:w="1650"/>
        <w:gridCol w:w="1650"/>
      </w:tblGrid>
      <w:tr w:rsidR="00566CE2">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Pessoal, encargos sociais, benefícios e treinamentos</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(16.026)</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(16.626)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Processamento de dados</w:t>
            </w:r>
            <w:r>
              <w:rPr>
                <w:rFonts w:eastAsia="Arial" w:cs="Arial"/>
                <w:color w:val="000000"/>
                <w:sz w:val="16"/>
                <w:szCs w:val="22"/>
                <w:bdr w:val="nil"/>
                <w:vertAlign w:val="superscript"/>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(6.205)</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(4.345)</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Contribuições filantrópicas</w:t>
            </w:r>
            <w:r>
              <w:rPr>
                <w:rFonts w:eastAsia="Arial" w:cs="Arial"/>
                <w:color w:val="000000"/>
                <w:sz w:val="16"/>
                <w:szCs w:val="22"/>
                <w:bdr w:val="nil"/>
                <w:vertAlign w:val="superscript"/>
                <w:lang w:eastAsia="en-US"/>
              </w:rPr>
              <w:t>(2)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(1.736)</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(233)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Aluguéis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(1.812)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(1.812)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Comunicação</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(1.387)</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(1.910)</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Serviços técnicos especializados </w:t>
            </w:r>
            <w:r>
              <w:rPr>
                <w:rFonts w:eastAsia="Arial" w:cs="Arial"/>
                <w:color w:val="000000"/>
                <w:sz w:val="16"/>
                <w:szCs w:val="22"/>
                <w:bdr w:val="nil"/>
                <w:vertAlign w:val="superscript"/>
                <w:lang w:eastAsia="en-US"/>
              </w:rPr>
              <w:t>(3)</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(1.461)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(2.518)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Aprovisionamentos e ajustes patrimoniais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(882)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(633)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Honorários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(478)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(410)</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Serviços de terceiros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(392)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(343)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Promoções e relações públicas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(382)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Custos indiretos contadoria BB</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(332)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Legais e judiciais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(314)</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Custos de suporte direção geral BB</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(242)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(216)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Tributárias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(85)</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Outras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(960)</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(842)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(32.710)</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(30.912)</w:t>
            </w:r>
          </w:p>
        </w:tc>
      </w:tr>
    </w:tbl>
    <w:p w:rsidR="00317DF4" w:rsidRPr="00317DF4" w:rsidRDefault="00A82039" w:rsidP="00317DF4">
      <w:pPr>
        <w:pStyle w:val="07-Legenda"/>
        <w:keepLines w:val="0"/>
        <w:numPr>
          <w:ilvl w:val="0"/>
          <w:numId w:val="12"/>
        </w:numPr>
        <w:pBdr>
          <w:top w:val="nil"/>
          <w:left w:val="nil"/>
          <w:bottom w:val="nil"/>
          <w:right w:val="nil"/>
          <w:between w:val="nil"/>
          <w:bar w:val="nil"/>
        </w:pBdr>
        <w:ind w:left="284" w:hanging="284"/>
        <w:rPr>
          <w:bdr w:val="nil"/>
        </w:rPr>
      </w:pPr>
      <w:r>
        <w:rPr>
          <w:bdr w:val="nil"/>
        </w:rPr>
        <w:t xml:space="preserve">No exercício de 2019 a Companhia modernizou e implementou sistemas de processamento de dados como </w:t>
      </w:r>
      <w:r w:rsidRPr="00E1632E">
        <w:rPr>
          <w:i/>
          <w:bdr w:val="nil"/>
        </w:rPr>
        <w:t>Ominichannel</w:t>
      </w:r>
      <w:r>
        <w:rPr>
          <w:bdr w:val="nil"/>
        </w:rPr>
        <w:t>, SOL e ERP;</w:t>
      </w:r>
    </w:p>
    <w:p w:rsidR="00E1632E" w:rsidRPr="00317DF4" w:rsidRDefault="00A82039" w:rsidP="00E1632E">
      <w:pPr>
        <w:pStyle w:val="07-Legenda"/>
        <w:keepLines w:val="0"/>
        <w:numPr>
          <w:ilvl w:val="0"/>
          <w:numId w:val="12"/>
        </w:numPr>
        <w:pBdr>
          <w:top w:val="nil"/>
          <w:left w:val="nil"/>
          <w:bottom w:val="nil"/>
          <w:right w:val="nil"/>
          <w:between w:val="nil"/>
          <w:bar w:val="nil"/>
        </w:pBdr>
        <w:ind w:left="284" w:hanging="284"/>
        <w:rPr>
          <w:bdr w:val="nil"/>
        </w:rPr>
      </w:pPr>
      <w:r w:rsidRPr="00317DF4">
        <w:rPr>
          <w:bdr w:val="nil"/>
        </w:rPr>
        <w:t>Doações a projetos sociais coordenados pela Fundação Banco do Brasil (FBB), Fund</w:t>
      </w:r>
      <w:r>
        <w:rPr>
          <w:bdr w:val="nil"/>
        </w:rPr>
        <w:t>o dos Direitos da Criança e Adolescente</w:t>
      </w:r>
      <w:r w:rsidRPr="00317DF4">
        <w:rPr>
          <w:bdr w:val="nil"/>
        </w:rPr>
        <w:t xml:space="preserve"> (F</w:t>
      </w:r>
      <w:r>
        <w:rPr>
          <w:bdr w:val="nil"/>
        </w:rPr>
        <w:t>IA</w:t>
      </w:r>
      <w:r w:rsidRPr="00317DF4">
        <w:rPr>
          <w:bdr w:val="nil"/>
        </w:rPr>
        <w:t>)</w:t>
      </w:r>
      <w:r>
        <w:rPr>
          <w:bdr w:val="nil"/>
        </w:rPr>
        <w:t xml:space="preserve"> e Fundo dos Direitos da Pessoa Idosa (FDPI)</w:t>
      </w:r>
      <w:r w:rsidRPr="00317DF4">
        <w:rPr>
          <w:bdr w:val="nil"/>
        </w:rPr>
        <w:t>.</w:t>
      </w:r>
    </w:p>
    <w:p w:rsidR="00E1632E" w:rsidRDefault="00A82039" w:rsidP="00E1632E">
      <w:pPr>
        <w:pStyle w:val="07-Legenda"/>
        <w:keepLines w:val="0"/>
        <w:numPr>
          <w:ilvl w:val="0"/>
          <w:numId w:val="12"/>
        </w:numPr>
        <w:pBdr>
          <w:top w:val="nil"/>
          <w:left w:val="nil"/>
          <w:bottom w:val="nil"/>
          <w:right w:val="nil"/>
          <w:between w:val="nil"/>
          <w:bar w:val="nil"/>
        </w:pBdr>
        <w:ind w:left="284" w:hanging="284"/>
        <w:rPr>
          <w:bdr w:val="nil"/>
        </w:rPr>
      </w:pPr>
      <w:r>
        <w:rPr>
          <w:bdr w:val="nil"/>
        </w:rPr>
        <w:t xml:space="preserve">No exercício de </w:t>
      </w:r>
      <w:r w:rsidRPr="00317DF4">
        <w:rPr>
          <w:bdr w:val="nil"/>
        </w:rPr>
        <w:t xml:space="preserve">2018 </w:t>
      </w:r>
      <w:r>
        <w:rPr>
          <w:bdr w:val="nil"/>
        </w:rPr>
        <w:t>inclui serviços técnicos especializados, no valor total de R$ 1.790 mil, relativos à consultoria para implementação de solução para tratamento e análise de dados (Big Data).</w:t>
      </w:r>
    </w:p>
    <w:p w:rsidR="00F95B2B" w:rsidRPr="00F95B2B" w:rsidRDefault="00F95B2B" w:rsidP="00596103">
      <w:pPr>
        <w:pStyle w:val="07-Legenda"/>
        <w:keepLines w:val="0"/>
        <w:pBdr>
          <w:top w:val="nil"/>
          <w:left w:val="nil"/>
          <w:bottom w:val="nil"/>
          <w:right w:val="nil"/>
          <w:between w:val="nil"/>
          <w:bar w:val="nil"/>
        </w:pBdr>
        <w:spacing w:before="0"/>
        <w:rPr>
          <w:bdr w:val="nil"/>
        </w:rPr>
      </w:pPr>
    </w:p>
    <w:p w:rsidR="00533F70" w:rsidRPr="00EB4437" w:rsidRDefault="00A82039" w:rsidP="00625B8B">
      <w:pPr>
        <w:pStyle w:val="PargrafodaLista"/>
        <w:keepNext/>
        <w:numPr>
          <w:ilvl w:val="0"/>
          <w:numId w:val="11"/>
        </w:numPr>
        <w:pBdr>
          <w:top w:val="nil"/>
          <w:left w:val="nil"/>
          <w:bottom w:val="nil"/>
          <w:right w:val="nil"/>
          <w:between w:val="nil"/>
          <w:bar w:val="nil"/>
        </w:pBdr>
        <w:rPr>
          <w:rFonts w:ascii="Arial" w:hAnsi="Arial" w:cs="Arial"/>
          <w:b/>
          <w:sz w:val="18"/>
          <w:szCs w:val="18"/>
          <w:bdr w:val="nil"/>
        </w:rPr>
      </w:pPr>
      <w:r w:rsidRPr="00EB4437">
        <w:rPr>
          <w:rFonts w:ascii="Arial" w:hAnsi="Arial" w:cs="Arial"/>
          <w:b/>
          <w:sz w:val="18"/>
          <w:szCs w:val="18"/>
          <w:bdr w:val="nil"/>
        </w:rPr>
        <w:lastRenderedPageBreak/>
        <w:t>Outras Receitas Operacionais</w:t>
      </w:r>
    </w:p>
    <w:tbl>
      <w:tblPr>
        <w:tblW w:w="9675" w:type="dxa"/>
        <w:tblLayout w:type="fixed"/>
        <w:tblLook w:val="0600" w:firstRow="0" w:lastRow="0" w:firstColumn="0" w:lastColumn="0" w:noHBand="1" w:noVBand="1"/>
        <w:tblCaption w:val="NEOUTRASRECDESPOtrRecOpe"/>
      </w:tblPr>
      <w:tblGrid>
        <w:gridCol w:w="6405"/>
        <w:gridCol w:w="1635"/>
        <w:gridCol w:w="1635"/>
      </w:tblGrid>
      <w:tr w:rsidR="00566CE2">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35" w:type="dxa"/>
            <w:tcBorders>
              <w:top w:val="nil"/>
              <w:left w:val="nil"/>
              <w:bottom w:val="single" w:sz="8" w:space="0" w:color="000000"/>
              <w:right w:val="nil"/>
              <w:tl2br w:val="nil"/>
              <w:tr2bl w:val="nil"/>
            </w:tcBorders>
            <w:shd w:val="clear" w:color="auto" w:fill="auto"/>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35"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3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c>
          <w:tcPr>
            <w:tcW w:w="163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Reversão de provisão para passivos contingentes</w:t>
            </w:r>
          </w:p>
        </w:tc>
        <w:tc>
          <w:tcPr>
            <w:tcW w:w="1635" w:type="dxa"/>
            <w:tcBorders>
              <w:top w:val="single" w:sz="8" w:space="0" w:color="000000"/>
              <w:left w:val="nil"/>
              <w:bottom w:val="nil"/>
              <w:right w:val="nil"/>
              <w:tl2br w:val="nil"/>
              <w:tr2bl w:val="nil"/>
            </w:tcBorders>
            <w:shd w:val="clear" w:color="FFFFFF" w:fill="FFFFFF"/>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21.546</w:t>
            </w:r>
          </w:p>
        </w:tc>
        <w:tc>
          <w:tcPr>
            <w:tcW w:w="1635" w:type="dxa"/>
            <w:tcBorders>
              <w:top w:val="single" w:sz="8" w:space="0" w:color="000000"/>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27.118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Recuperacao de encargos e despesas</w:t>
            </w:r>
          </w:p>
        </w:tc>
        <w:tc>
          <w:tcPr>
            <w:tcW w:w="1635" w:type="dxa"/>
            <w:tcBorders>
              <w:top w:val="nil"/>
              <w:left w:val="nil"/>
              <w:bottom w:val="nil"/>
              <w:right w:val="nil"/>
              <w:tl2br w:val="nil"/>
              <w:tr2bl w:val="nil"/>
            </w:tcBorders>
            <w:shd w:val="clear" w:color="FFFFFF" w:fill="FFFFFF"/>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1.151</w:t>
            </w:r>
          </w:p>
        </w:tc>
        <w:tc>
          <w:tcPr>
            <w:tcW w:w="1635"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964</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Ressarcimento de custos - Ativos Gestão</w:t>
            </w:r>
          </w:p>
        </w:tc>
        <w:tc>
          <w:tcPr>
            <w:tcW w:w="1635" w:type="dxa"/>
            <w:tcBorders>
              <w:top w:val="nil"/>
              <w:left w:val="nil"/>
              <w:bottom w:val="nil"/>
              <w:right w:val="nil"/>
              <w:tl2br w:val="nil"/>
              <w:tr2bl w:val="nil"/>
            </w:tcBorders>
            <w:shd w:val="clear" w:color="FFFFFF" w:fill="FFFFFF"/>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894</w:t>
            </w:r>
          </w:p>
        </w:tc>
        <w:tc>
          <w:tcPr>
            <w:tcW w:w="1635"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noWrap/>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Reversão de provisão para participação no lucro</w:t>
            </w:r>
          </w:p>
        </w:tc>
        <w:tc>
          <w:tcPr>
            <w:tcW w:w="1635" w:type="dxa"/>
            <w:tcBorders>
              <w:top w:val="nil"/>
              <w:left w:val="nil"/>
              <w:bottom w:val="nil"/>
              <w:right w:val="nil"/>
              <w:tl2br w:val="nil"/>
              <w:tr2bl w:val="nil"/>
            </w:tcBorders>
            <w:shd w:val="clear" w:color="FFFFFF" w:fill="FFFFFF"/>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565</w:t>
            </w:r>
          </w:p>
        </w:tc>
        <w:tc>
          <w:tcPr>
            <w:tcW w:w="1635"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706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Variação monetária ativa</w:t>
            </w:r>
            <w:r>
              <w:rPr>
                <w:rFonts w:eastAsia="Arial" w:cs="Arial"/>
                <w:color w:val="000000"/>
                <w:sz w:val="16"/>
                <w:szCs w:val="22"/>
                <w:bdr w:val="nil"/>
                <w:vertAlign w:val="superscript"/>
                <w:lang w:eastAsia="en-US"/>
              </w:rPr>
              <w:t xml:space="preserve"> </w:t>
            </w:r>
          </w:p>
        </w:tc>
        <w:tc>
          <w:tcPr>
            <w:tcW w:w="1635" w:type="dxa"/>
            <w:tcBorders>
              <w:top w:val="nil"/>
              <w:left w:val="nil"/>
              <w:bottom w:val="nil"/>
              <w:right w:val="nil"/>
              <w:tl2br w:val="nil"/>
              <w:tr2bl w:val="nil"/>
            </w:tcBorders>
            <w:shd w:val="clear" w:color="FFFFFF" w:fill="FFFFFF"/>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446</w:t>
            </w:r>
          </w:p>
        </w:tc>
        <w:tc>
          <w:tcPr>
            <w:tcW w:w="1635"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148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Multas por atraso no recebimento de créditos cedidos</w:t>
            </w:r>
          </w:p>
        </w:tc>
        <w:tc>
          <w:tcPr>
            <w:tcW w:w="1635" w:type="dxa"/>
            <w:tcBorders>
              <w:top w:val="nil"/>
              <w:left w:val="nil"/>
              <w:bottom w:val="nil"/>
              <w:right w:val="nil"/>
              <w:tl2br w:val="nil"/>
              <w:tr2bl w:val="nil"/>
            </w:tcBorders>
            <w:shd w:val="clear" w:color="FFFFFF" w:fill="FFFFFF"/>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197</w:t>
            </w:r>
          </w:p>
        </w:tc>
        <w:tc>
          <w:tcPr>
            <w:tcW w:w="1635"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203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Lucro na alienação de valores e bens</w:t>
            </w:r>
            <w:r>
              <w:rPr>
                <w:rFonts w:eastAsia="Arial" w:cs="Arial"/>
                <w:color w:val="000000"/>
                <w:sz w:val="16"/>
                <w:szCs w:val="22"/>
                <w:bdr w:val="nil"/>
                <w:vertAlign w:val="superscript"/>
                <w:lang w:eastAsia="en-US"/>
              </w:rPr>
              <w:t xml:space="preserve"> (1)</w:t>
            </w:r>
          </w:p>
        </w:tc>
        <w:tc>
          <w:tcPr>
            <w:tcW w:w="1635" w:type="dxa"/>
            <w:tcBorders>
              <w:top w:val="nil"/>
              <w:left w:val="nil"/>
              <w:bottom w:val="nil"/>
              <w:right w:val="nil"/>
              <w:tl2br w:val="nil"/>
              <w:tr2bl w:val="nil"/>
            </w:tcBorders>
            <w:shd w:val="clear" w:color="FFFFFF" w:fill="FFFFFF"/>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635"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469</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Outras</w:t>
            </w:r>
          </w:p>
        </w:tc>
        <w:tc>
          <w:tcPr>
            <w:tcW w:w="1635" w:type="dxa"/>
            <w:tcBorders>
              <w:top w:val="nil"/>
              <w:left w:val="nil"/>
              <w:bottom w:val="nil"/>
              <w:right w:val="nil"/>
              <w:tl2br w:val="nil"/>
              <w:tr2bl w:val="nil"/>
            </w:tcBorders>
            <w:shd w:val="clear" w:color="FFFFFF" w:fill="FFFFFF"/>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79</w:t>
            </w:r>
          </w:p>
        </w:tc>
        <w:tc>
          <w:tcPr>
            <w:tcW w:w="1635"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35" w:type="dxa"/>
            <w:tcBorders>
              <w:top w:val="nil"/>
              <w:left w:val="nil"/>
              <w:bottom w:val="single" w:sz="8" w:space="0" w:color="000000"/>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24.878</w:t>
            </w:r>
          </w:p>
        </w:tc>
        <w:tc>
          <w:tcPr>
            <w:tcW w:w="1635" w:type="dxa"/>
            <w:tcBorders>
              <w:top w:val="nil"/>
              <w:left w:val="nil"/>
              <w:bottom w:val="single" w:sz="8" w:space="0" w:color="000000"/>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30.428</w:t>
            </w:r>
          </w:p>
        </w:tc>
      </w:tr>
    </w:tbl>
    <w:p w:rsidR="000E065B" w:rsidRDefault="00A82039" w:rsidP="000E065B">
      <w:pPr>
        <w:pStyle w:val="07-Legenda"/>
        <w:keepLines w:val="0"/>
        <w:pBdr>
          <w:top w:val="nil"/>
          <w:left w:val="nil"/>
          <w:bottom w:val="nil"/>
          <w:right w:val="nil"/>
          <w:between w:val="nil"/>
          <w:bar w:val="nil"/>
        </w:pBdr>
        <w:rPr>
          <w:bdr w:val="nil"/>
        </w:rPr>
      </w:pPr>
      <w:r>
        <w:rPr>
          <w:bdr w:val="nil"/>
        </w:rPr>
        <w:t>(1)</w:t>
      </w:r>
      <w:r>
        <w:rPr>
          <w:bdr w:val="nil"/>
        </w:rPr>
        <w:tab/>
        <w:t>Refere-se ao lucro obtido na alienação de bens recebidos na amortização de operações de créditos adquiridas.</w:t>
      </w:r>
    </w:p>
    <w:p w:rsidR="00F95B2B" w:rsidRPr="00F95B2B" w:rsidRDefault="00F95B2B" w:rsidP="00596103">
      <w:pPr>
        <w:pStyle w:val="07-Legenda"/>
        <w:keepLines w:val="0"/>
        <w:pBdr>
          <w:top w:val="nil"/>
          <w:left w:val="nil"/>
          <w:bottom w:val="nil"/>
          <w:right w:val="nil"/>
          <w:between w:val="nil"/>
          <w:bar w:val="nil"/>
        </w:pBdr>
        <w:spacing w:before="0"/>
        <w:rPr>
          <w:bdr w:val="nil"/>
        </w:rPr>
      </w:pPr>
    </w:p>
    <w:p w:rsidR="00533F70" w:rsidRPr="00EB4437" w:rsidRDefault="00A82039" w:rsidP="00625B8B">
      <w:pPr>
        <w:pStyle w:val="PargrafodaLista"/>
        <w:keepNext/>
        <w:numPr>
          <w:ilvl w:val="0"/>
          <w:numId w:val="11"/>
        </w:numPr>
        <w:pBdr>
          <w:top w:val="nil"/>
          <w:left w:val="nil"/>
          <w:bottom w:val="nil"/>
          <w:right w:val="nil"/>
          <w:between w:val="nil"/>
          <w:bar w:val="nil"/>
        </w:pBdr>
        <w:rPr>
          <w:rFonts w:ascii="Arial" w:hAnsi="Arial" w:cs="Arial"/>
          <w:b/>
          <w:sz w:val="18"/>
          <w:szCs w:val="18"/>
          <w:bdr w:val="nil"/>
        </w:rPr>
      </w:pPr>
      <w:r w:rsidRPr="00EB4437">
        <w:rPr>
          <w:rFonts w:ascii="Arial" w:hAnsi="Arial" w:cs="Arial"/>
          <w:b/>
          <w:sz w:val="18"/>
          <w:szCs w:val="18"/>
          <w:bdr w:val="nil"/>
        </w:rPr>
        <w:t>Outras Despesas Operacionais</w:t>
      </w:r>
    </w:p>
    <w:tbl>
      <w:tblPr>
        <w:tblW w:w="9705" w:type="dxa"/>
        <w:tblLayout w:type="fixed"/>
        <w:tblLook w:val="0600" w:firstRow="0" w:lastRow="0" w:firstColumn="0" w:lastColumn="0" w:noHBand="1" w:noVBand="1"/>
        <w:tblCaption w:val="NEOUTRASRECDESPOtrDespOpe"/>
      </w:tblPr>
      <w:tblGrid>
        <w:gridCol w:w="5805"/>
        <w:gridCol w:w="600"/>
        <w:gridCol w:w="1650"/>
        <w:gridCol w:w="1650"/>
      </w:tblGrid>
      <w:tr w:rsidR="00566CE2">
        <w:trPr>
          <w:cantSplit/>
          <w:trHeight w:val="270"/>
        </w:trPr>
        <w:tc>
          <w:tcPr>
            <w:tcW w:w="5805" w:type="dxa"/>
            <w:tcBorders>
              <w:top w:val="nil"/>
              <w:left w:val="nil"/>
              <w:bottom w:val="single" w:sz="8" w:space="0" w:color="000000"/>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600" w:type="dxa"/>
            <w:tcBorders>
              <w:top w:val="nil"/>
              <w:left w:val="nil"/>
              <w:bottom w:val="single" w:sz="8" w:space="0" w:color="000000"/>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58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60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 xml:space="preserve">Demandas judiciais cíveis </w:t>
            </w:r>
            <w:r>
              <w:rPr>
                <w:rFonts w:eastAsia="Arial" w:cs="Arial"/>
                <w:color w:val="000000"/>
                <w:sz w:val="16"/>
                <w:szCs w:val="22"/>
                <w:bdr w:val="nil"/>
                <w:vertAlign w:val="superscript"/>
                <w:lang w:eastAsia="en-US"/>
              </w:rPr>
              <w:t>(1)</w:t>
            </w:r>
          </w:p>
        </w:tc>
        <w:tc>
          <w:tcPr>
            <w:tcW w:w="600" w:type="dxa"/>
            <w:tcBorders>
              <w:top w:val="single" w:sz="8" w:space="0" w:color="000000"/>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(39.130)</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(42.242)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Provisão para passivos contingentes</w:t>
            </w:r>
          </w:p>
        </w:tc>
        <w:tc>
          <w:tcPr>
            <w:tcW w:w="600"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(27.796)</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(25.230)</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Outras</w:t>
            </w:r>
          </w:p>
        </w:tc>
        <w:tc>
          <w:tcPr>
            <w:tcW w:w="600"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(114)</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60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(67.040)</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(67.498)</w:t>
            </w:r>
          </w:p>
        </w:tc>
      </w:tr>
    </w:tbl>
    <w:p w:rsidR="000328D3" w:rsidRDefault="00A82039" w:rsidP="000328D3">
      <w:pPr>
        <w:pStyle w:val="07-Legenda"/>
        <w:keepLines w:val="0"/>
        <w:pBdr>
          <w:top w:val="nil"/>
          <w:left w:val="nil"/>
          <w:bottom w:val="nil"/>
          <w:right w:val="nil"/>
          <w:between w:val="nil"/>
          <w:bar w:val="nil"/>
        </w:pBdr>
        <w:rPr>
          <w:bdr w:val="nil"/>
        </w:rPr>
      </w:pPr>
      <w:r>
        <w:rPr>
          <w:bdr w:val="nil"/>
        </w:rPr>
        <w:t>(1)</w:t>
      </w:r>
      <w:r>
        <w:rPr>
          <w:bdr w:val="nil"/>
        </w:rPr>
        <w:tab/>
        <w:t>Refere-se as indenizações, honorários advocatícios e custas judiciais.</w:t>
      </w:r>
    </w:p>
    <w:p w:rsidR="00566CE2" w:rsidRDefault="00566CE2">
      <w:pPr>
        <w:pBdr>
          <w:top w:val="nil"/>
          <w:left w:val="nil"/>
          <w:bottom w:val="nil"/>
          <w:right w:val="nil"/>
          <w:between w:val="nil"/>
          <w:bar w:val="nil"/>
        </w:pBdr>
        <w:spacing w:before="0" w:after="200"/>
        <w:jc w:val="left"/>
        <w:rPr>
          <w:rFonts w:ascii="Calibri" w:eastAsia="Calibri" w:hAnsi="Calibri" w:cs="Arial"/>
          <w:sz w:val="22"/>
          <w:szCs w:val="22"/>
          <w:bdr w:val="nil"/>
          <w:lang w:val="en-US" w:eastAsia="en-US"/>
        </w:rPr>
      </w:pPr>
    </w:p>
    <w:p w:rsidR="0030760A" w:rsidRDefault="00A82039" w:rsidP="00A529DB">
      <w:pPr>
        <w:pStyle w:val="02-TtulodeNota"/>
        <w:keepLines w:val="0"/>
        <w:widowControl/>
        <w:pBdr>
          <w:top w:val="nil"/>
          <w:left w:val="nil"/>
          <w:bottom w:val="nil"/>
          <w:right w:val="nil"/>
          <w:between w:val="nil"/>
          <w:bar w:val="nil"/>
        </w:pBdr>
        <w:spacing w:after="0" w:line="276" w:lineRule="auto"/>
        <w:ind w:left="0" w:firstLine="0"/>
        <w:rPr>
          <w:color w:val="auto"/>
          <w:bdr w:val="nil"/>
        </w:rPr>
      </w:pPr>
      <w:r w:rsidRPr="00A529DB">
        <w:rPr>
          <w:rFonts w:cs="Times New Roman"/>
          <w:color w:val="auto"/>
          <w:szCs w:val="20"/>
          <w:bdr w:val="nil"/>
        </w:rPr>
        <w:t>14</w:t>
      </w:r>
      <w:r>
        <w:rPr>
          <w:rFonts w:cs="Times New Roman"/>
          <w:color w:val="auto"/>
          <w:szCs w:val="20"/>
          <w:bdr w:val="nil"/>
        </w:rPr>
        <w:t xml:space="preserve"> - resultado financeiro</w:t>
      </w:r>
    </w:p>
    <w:p w:rsidR="0030760A" w:rsidRDefault="0030760A" w:rsidP="0030760A">
      <w:pPr>
        <w:pStyle w:val="07-Legenda"/>
        <w:keepLines w:val="0"/>
        <w:pBdr>
          <w:top w:val="nil"/>
          <w:left w:val="nil"/>
          <w:bottom w:val="nil"/>
          <w:right w:val="nil"/>
          <w:between w:val="nil"/>
          <w:bar w:val="nil"/>
        </w:pBdr>
        <w:spacing w:before="0"/>
        <w:rPr>
          <w:bdr w:val="nil"/>
        </w:rPr>
      </w:pPr>
    </w:p>
    <w:p w:rsidR="0030760A" w:rsidRPr="00CA76DF" w:rsidRDefault="00A82039" w:rsidP="00CA76DF">
      <w:pPr>
        <w:pStyle w:val="PargrafodaLista"/>
        <w:numPr>
          <w:ilvl w:val="0"/>
          <w:numId w:val="13"/>
        </w:numPr>
        <w:pBdr>
          <w:top w:val="nil"/>
          <w:left w:val="nil"/>
          <w:bottom w:val="nil"/>
          <w:right w:val="nil"/>
          <w:between w:val="nil"/>
          <w:bar w:val="nil"/>
        </w:pBdr>
        <w:rPr>
          <w:rFonts w:ascii="Arial" w:hAnsi="Arial" w:cs="Arial"/>
          <w:b/>
          <w:sz w:val="18"/>
          <w:szCs w:val="18"/>
          <w:bdr w:val="nil"/>
          <w:lang w:val="en-US"/>
        </w:rPr>
      </w:pPr>
      <w:r w:rsidRPr="00CA76DF">
        <w:rPr>
          <w:rFonts w:ascii="Arial" w:hAnsi="Arial" w:cs="Arial"/>
          <w:b/>
          <w:sz w:val="18"/>
          <w:szCs w:val="18"/>
          <w:bdr w:val="nil"/>
          <w:lang w:val="en-US"/>
        </w:rPr>
        <w:t>Receitas Financeiras</w:t>
      </w:r>
    </w:p>
    <w:tbl>
      <w:tblPr>
        <w:tblW w:w="9705" w:type="dxa"/>
        <w:tblLayout w:type="fixed"/>
        <w:tblLook w:val="0600" w:firstRow="0" w:lastRow="0" w:firstColumn="0" w:lastColumn="0" w:noHBand="1" w:noVBand="1"/>
        <w:tblCaption w:val="NERESULTFINANCEIRORecFinan"/>
      </w:tblPr>
      <w:tblGrid>
        <w:gridCol w:w="5805"/>
        <w:gridCol w:w="600"/>
        <w:gridCol w:w="1650"/>
        <w:gridCol w:w="1650"/>
      </w:tblGrid>
      <w:tr w:rsidR="00566CE2">
        <w:trPr>
          <w:cantSplit/>
          <w:trHeight w:val="270"/>
        </w:trPr>
        <w:tc>
          <w:tcPr>
            <w:tcW w:w="5805" w:type="dxa"/>
            <w:tcBorders>
              <w:top w:val="nil"/>
              <w:left w:val="nil"/>
              <w:bottom w:val="single" w:sz="8" w:space="0" w:color="000000"/>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600" w:type="dxa"/>
            <w:tcBorders>
              <w:top w:val="nil"/>
              <w:left w:val="nil"/>
              <w:bottom w:val="single" w:sz="8" w:space="0" w:color="000000"/>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15"/>
        </w:trPr>
        <w:tc>
          <w:tcPr>
            <w:tcW w:w="58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60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val="en-US" w:eastAsia="en-US"/>
              </w:rPr>
            </w:pPr>
            <w:r>
              <w:rPr>
                <w:rFonts w:eastAsia="Arial" w:cs="Arial"/>
                <w:b/>
                <w:color w:val="000000"/>
                <w:sz w:val="16"/>
                <w:szCs w:val="22"/>
                <w:bdr w:val="nil"/>
                <w:lang w:val="en-US" w:eastAsia="en-US"/>
              </w:rPr>
              <w:t>Nota</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Exercício/2019</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Exercício/2018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Rendas de aplicações em fundos de investimento</w:t>
            </w:r>
          </w:p>
        </w:tc>
        <w:tc>
          <w:tcPr>
            <w:tcW w:w="600"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r>
              <w:rPr>
                <w:rFonts w:eastAsia="Arial" w:cs="Arial"/>
                <w:color w:val="000000"/>
                <w:sz w:val="16"/>
                <w:szCs w:val="22"/>
                <w:bdr w:val="nil"/>
                <w:lang w:val="en-US" w:eastAsia="en-US"/>
              </w:rPr>
              <w:t>5.b</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9.036</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15.744</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Outras</w:t>
            </w:r>
          </w:p>
        </w:tc>
        <w:tc>
          <w:tcPr>
            <w:tcW w:w="600"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5</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80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Total</w:t>
            </w:r>
          </w:p>
        </w:tc>
        <w:tc>
          <w:tcPr>
            <w:tcW w:w="60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val="en-US" w:eastAsia="en-US"/>
              </w:rPr>
            </w:pP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9.036</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15.749</w:t>
            </w:r>
          </w:p>
        </w:tc>
      </w:tr>
    </w:tbl>
    <w:p w:rsidR="0030760A" w:rsidRDefault="0030760A" w:rsidP="0030760A">
      <w:pPr>
        <w:pStyle w:val="07-Legenda"/>
        <w:keepLines w:val="0"/>
        <w:pBdr>
          <w:top w:val="nil"/>
          <w:left w:val="nil"/>
          <w:bottom w:val="nil"/>
          <w:right w:val="nil"/>
          <w:between w:val="nil"/>
          <w:bar w:val="nil"/>
        </w:pBdr>
        <w:rPr>
          <w:bdr w:val="nil"/>
        </w:rPr>
      </w:pPr>
    </w:p>
    <w:p w:rsidR="0030760A" w:rsidRDefault="0030760A" w:rsidP="0030760A">
      <w:pPr>
        <w:pStyle w:val="07-Legenda"/>
        <w:keepLines w:val="0"/>
        <w:pBdr>
          <w:top w:val="nil"/>
          <w:left w:val="nil"/>
          <w:bottom w:val="nil"/>
          <w:right w:val="nil"/>
          <w:between w:val="nil"/>
          <w:bar w:val="nil"/>
        </w:pBdr>
        <w:rPr>
          <w:bdr w:val="nil"/>
        </w:rPr>
      </w:pPr>
    </w:p>
    <w:p w:rsidR="0030760A" w:rsidRPr="00CA76DF" w:rsidRDefault="00A82039" w:rsidP="00CA76DF">
      <w:pPr>
        <w:pStyle w:val="PargrafodaLista"/>
        <w:numPr>
          <w:ilvl w:val="0"/>
          <w:numId w:val="13"/>
        </w:numPr>
        <w:pBdr>
          <w:top w:val="nil"/>
          <w:left w:val="nil"/>
          <w:bottom w:val="nil"/>
          <w:right w:val="nil"/>
          <w:between w:val="nil"/>
          <w:bar w:val="nil"/>
        </w:pBdr>
        <w:rPr>
          <w:rFonts w:ascii="Arial" w:hAnsi="Arial" w:cs="Arial"/>
          <w:b/>
          <w:sz w:val="18"/>
          <w:szCs w:val="18"/>
          <w:bdr w:val="nil"/>
          <w:lang w:val="en-US"/>
        </w:rPr>
      </w:pPr>
      <w:r w:rsidRPr="00CA76DF">
        <w:rPr>
          <w:rFonts w:ascii="Arial" w:hAnsi="Arial" w:cs="Arial"/>
          <w:b/>
          <w:sz w:val="18"/>
          <w:szCs w:val="18"/>
          <w:bdr w:val="nil"/>
          <w:lang w:val="en-US"/>
        </w:rPr>
        <w:t>Despesas Financeiras</w:t>
      </w:r>
    </w:p>
    <w:tbl>
      <w:tblPr>
        <w:tblW w:w="9705" w:type="dxa"/>
        <w:tblLayout w:type="fixed"/>
        <w:tblLook w:val="0600" w:firstRow="0" w:lastRow="0" w:firstColumn="0" w:lastColumn="0" w:noHBand="1" w:noVBand="1"/>
        <w:tblCaption w:val="NERESULTFINANCEIRODepFinan"/>
      </w:tblPr>
      <w:tblGrid>
        <w:gridCol w:w="5955"/>
        <w:gridCol w:w="450"/>
        <w:gridCol w:w="1650"/>
        <w:gridCol w:w="1650"/>
      </w:tblGrid>
      <w:tr w:rsidR="00566CE2">
        <w:trPr>
          <w:cantSplit/>
          <w:trHeight w:hRule="exact" w:val="270"/>
        </w:trPr>
        <w:tc>
          <w:tcPr>
            <w:tcW w:w="5955" w:type="dxa"/>
            <w:tcBorders>
              <w:top w:val="nil"/>
              <w:left w:val="nil"/>
              <w:bottom w:val="single" w:sz="8" w:space="0" w:color="000000"/>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450" w:type="dxa"/>
            <w:tcBorders>
              <w:top w:val="nil"/>
              <w:left w:val="nil"/>
              <w:bottom w:val="single" w:sz="8" w:space="0" w:color="000000"/>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3300" w:type="dxa"/>
            <w:gridSpan w:val="2"/>
            <w:tcBorders>
              <w:top w:val="nil"/>
              <w:left w:val="nil"/>
              <w:bottom w:val="single" w:sz="8" w:space="0" w:color="000000"/>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15"/>
        </w:trPr>
        <w:tc>
          <w:tcPr>
            <w:tcW w:w="595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4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val="en-US" w:eastAsia="en-US"/>
              </w:rPr>
            </w:pPr>
            <w:r>
              <w:rPr>
                <w:rFonts w:eastAsia="Arial" w:cs="Arial"/>
                <w:b/>
                <w:color w:val="000000"/>
                <w:sz w:val="16"/>
                <w:szCs w:val="22"/>
                <w:bdr w:val="nil"/>
                <w:lang w:val="en-US" w:eastAsia="en-US"/>
              </w:rPr>
              <w:t>Nota</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Exercício/2019</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Exercício/2018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55"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Comissões e despesas bancárias</w:t>
            </w:r>
          </w:p>
        </w:tc>
        <w:tc>
          <w:tcPr>
            <w:tcW w:w="450"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val="en-US" w:eastAsia="en-US"/>
              </w:rPr>
            </w:pPr>
            <w:r>
              <w:rPr>
                <w:rFonts w:eastAsia="Arial" w:cs="Arial"/>
                <w:color w:val="000000"/>
                <w:sz w:val="16"/>
                <w:szCs w:val="22"/>
                <w:bdr w:val="nil"/>
                <w:lang w:val="en-US" w:eastAsia="en-US"/>
              </w:rPr>
              <w:t>17</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(7.267)</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(4.718)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5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r>
              <w:rPr>
                <w:rFonts w:eastAsia="Arial" w:cs="Arial"/>
                <w:color w:val="000000"/>
                <w:sz w:val="16"/>
                <w:szCs w:val="22"/>
                <w:bdr w:val="nil"/>
                <w:lang w:val="en-US" w:eastAsia="en-US"/>
              </w:rPr>
              <w:t>Atualização monetária sobre obrigações sociais e estatutárias</w:t>
            </w:r>
          </w:p>
        </w:tc>
        <w:tc>
          <w:tcPr>
            <w:tcW w:w="450"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(2.525)</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val="en-US" w:eastAsia="en-US"/>
              </w:rPr>
            </w:pPr>
            <w:r>
              <w:rPr>
                <w:rFonts w:eastAsia="Arial" w:cs="Arial"/>
                <w:color w:val="000000"/>
                <w:sz w:val="16"/>
                <w:szCs w:val="22"/>
                <w:bdr w:val="nil"/>
                <w:lang w:val="en-US" w:eastAsia="en-US"/>
              </w:rPr>
              <w:t>(4.782)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5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r>
              <w:rPr>
                <w:rFonts w:eastAsia="Arial" w:cs="Arial"/>
                <w:b/>
                <w:color w:val="000000"/>
                <w:sz w:val="16"/>
                <w:szCs w:val="22"/>
                <w:bdr w:val="nil"/>
                <w:lang w:val="en-US" w:eastAsia="en-US"/>
              </w:rPr>
              <w:t>Total</w:t>
            </w:r>
          </w:p>
        </w:tc>
        <w:tc>
          <w:tcPr>
            <w:tcW w:w="4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val="en-US" w:eastAsia="en-US"/>
              </w:rPr>
            </w:pP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(9.792)</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val="en-US" w:eastAsia="en-US"/>
              </w:rPr>
            </w:pPr>
            <w:r>
              <w:rPr>
                <w:rFonts w:eastAsia="Arial" w:cs="Arial"/>
                <w:b/>
                <w:color w:val="000000"/>
                <w:sz w:val="16"/>
                <w:szCs w:val="22"/>
                <w:bdr w:val="nil"/>
                <w:lang w:val="en-US" w:eastAsia="en-US"/>
              </w:rPr>
              <w:t>(9.500)</w:t>
            </w:r>
          </w:p>
        </w:tc>
      </w:tr>
    </w:tbl>
    <w:p w:rsidR="00566CE2" w:rsidRDefault="00566CE2">
      <w:pPr>
        <w:pBdr>
          <w:top w:val="nil"/>
          <w:left w:val="nil"/>
          <w:bottom w:val="nil"/>
          <w:right w:val="nil"/>
          <w:between w:val="nil"/>
          <w:bar w:val="nil"/>
        </w:pBdr>
        <w:spacing w:before="0" w:after="200"/>
        <w:jc w:val="left"/>
        <w:rPr>
          <w:sz w:val="22"/>
          <w:szCs w:val="22"/>
          <w:bdr w:val="nil"/>
          <w:lang w:eastAsia="en-US"/>
        </w:rPr>
      </w:pPr>
    </w:p>
    <w:p w:rsidR="00953E3F" w:rsidRDefault="00A82039" w:rsidP="009E3E6F">
      <w:pPr>
        <w:pStyle w:val="02-TtulodeNota"/>
        <w:keepLines w:val="0"/>
        <w:widowControl/>
        <w:pBdr>
          <w:top w:val="nil"/>
          <w:left w:val="nil"/>
          <w:bottom w:val="nil"/>
          <w:right w:val="nil"/>
          <w:between w:val="nil"/>
          <w:bar w:val="nil"/>
        </w:pBdr>
        <w:spacing w:after="0" w:line="276" w:lineRule="auto"/>
        <w:ind w:left="0" w:firstLine="0"/>
        <w:rPr>
          <w:rFonts w:cs="Times New Roman"/>
          <w:color w:val="auto"/>
          <w:bdr w:val="nil"/>
        </w:rPr>
      </w:pPr>
      <w:r w:rsidRPr="00BB6C17">
        <w:rPr>
          <w:rFonts w:cs="Times New Roman"/>
          <w:color w:val="auto"/>
          <w:szCs w:val="20"/>
          <w:bdr w:val="nil"/>
        </w:rPr>
        <w:lastRenderedPageBreak/>
        <w:t>15</w:t>
      </w:r>
      <w:r>
        <w:rPr>
          <w:rFonts w:cs="Times New Roman"/>
          <w:color w:val="auto"/>
          <w:szCs w:val="20"/>
          <w:bdr w:val="nil"/>
        </w:rPr>
        <w:t xml:space="preserve"> - PaTRIMÔNIO LÍQUIDO</w:t>
      </w:r>
    </w:p>
    <w:p w:rsidR="00682517" w:rsidRPr="00682517" w:rsidRDefault="00682517" w:rsidP="009E3E6F">
      <w:pPr>
        <w:pStyle w:val="07-Legenda"/>
        <w:keepNext/>
        <w:keepLines w:val="0"/>
        <w:pBdr>
          <w:top w:val="nil"/>
          <w:left w:val="nil"/>
          <w:bottom w:val="nil"/>
          <w:right w:val="nil"/>
          <w:between w:val="nil"/>
          <w:bar w:val="nil"/>
        </w:pBdr>
        <w:spacing w:before="0"/>
        <w:rPr>
          <w:bdr w:val="nil"/>
        </w:rPr>
      </w:pPr>
    </w:p>
    <w:p w:rsidR="00953E3F" w:rsidRPr="00411372" w:rsidRDefault="00A82039" w:rsidP="009E3E6F">
      <w:pPr>
        <w:pStyle w:val="PargrafodaLista"/>
        <w:keepNext/>
        <w:numPr>
          <w:ilvl w:val="0"/>
          <w:numId w:val="14"/>
        </w:numPr>
        <w:pBdr>
          <w:top w:val="nil"/>
          <w:left w:val="nil"/>
          <w:bottom w:val="nil"/>
          <w:right w:val="nil"/>
          <w:between w:val="nil"/>
          <w:bar w:val="nil"/>
        </w:pBdr>
        <w:rPr>
          <w:rFonts w:ascii="Arial" w:hAnsi="Arial" w:cs="Arial"/>
          <w:b/>
          <w:sz w:val="18"/>
          <w:szCs w:val="18"/>
          <w:bdr w:val="nil"/>
        </w:rPr>
      </w:pPr>
      <w:r w:rsidRPr="00411372">
        <w:rPr>
          <w:rFonts w:ascii="Arial" w:hAnsi="Arial" w:cs="Arial"/>
          <w:b/>
          <w:sz w:val="18"/>
          <w:szCs w:val="18"/>
          <w:bdr w:val="nil"/>
        </w:rPr>
        <w:t>Valor Patrimonial</w:t>
      </w:r>
    </w:p>
    <w:tbl>
      <w:tblPr>
        <w:tblW w:w="9705" w:type="dxa"/>
        <w:tblLayout w:type="fixed"/>
        <w:tblLook w:val="0600" w:firstRow="0" w:lastRow="0" w:firstColumn="0" w:lastColumn="0" w:noHBand="1" w:noVBand="1"/>
        <w:tblCaption w:val="NEPATRIMONIOLIQVlrPatri"/>
      </w:tblPr>
      <w:tblGrid>
        <w:gridCol w:w="6405"/>
        <w:gridCol w:w="1650"/>
        <w:gridCol w:w="1650"/>
      </w:tblGrid>
      <w:tr w:rsidR="00566CE2">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Patrimônio líquido</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912.596</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902.093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Valor patrimonial por ação (R$)</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1,39</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1,37</w:t>
            </w:r>
          </w:p>
        </w:tc>
      </w:tr>
    </w:tbl>
    <w:p w:rsidR="00EB3013" w:rsidRPr="00EB3013" w:rsidRDefault="00EB3013" w:rsidP="005570C5">
      <w:pPr>
        <w:pStyle w:val="07-Legenda"/>
        <w:keepLines w:val="0"/>
        <w:pBdr>
          <w:top w:val="nil"/>
          <w:left w:val="nil"/>
          <w:bottom w:val="nil"/>
          <w:right w:val="nil"/>
          <w:between w:val="nil"/>
          <w:bar w:val="nil"/>
        </w:pBdr>
        <w:rPr>
          <w:bdr w:val="nil"/>
        </w:rPr>
      </w:pPr>
    </w:p>
    <w:p w:rsidR="00855595" w:rsidRPr="00411372" w:rsidRDefault="00A82039" w:rsidP="009E3E6F">
      <w:pPr>
        <w:pStyle w:val="PargrafodaLista"/>
        <w:keepNext/>
        <w:numPr>
          <w:ilvl w:val="0"/>
          <w:numId w:val="14"/>
        </w:numPr>
        <w:pBdr>
          <w:top w:val="nil"/>
          <w:left w:val="nil"/>
          <w:bottom w:val="nil"/>
          <w:right w:val="nil"/>
          <w:between w:val="nil"/>
          <w:bar w:val="nil"/>
        </w:pBdr>
        <w:rPr>
          <w:rFonts w:ascii="Arial" w:hAnsi="Arial" w:cs="Arial"/>
          <w:b/>
          <w:sz w:val="18"/>
          <w:szCs w:val="18"/>
          <w:bdr w:val="nil"/>
        </w:rPr>
      </w:pPr>
      <w:r w:rsidRPr="00411372">
        <w:rPr>
          <w:rFonts w:ascii="Arial" w:hAnsi="Arial" w:cs="Arial"/>
          <w:b/>
          <w:sz w:val="18"/>
          <w:szCs w:val="18"/>
          <w:bdr w:val="nil"/>
        </w:rPr>
        <w:t>Capital Social</w:t>
      </w:r>
    </w:p>
    <w:p w:rsidR="00BC514F" w:rsidRPr="00BC514F" w:rsidRDefault="00BC514F" w:rsidP="005570C5">
      <w:pPr>
        <w:pStyle w:val="07-Legenda"/>
        <w:keepNext/>
        <w:keepLines w:val="0"/>
        <w:pBdr>
          <w:top w:val="nil"/>
          <w:left w:val="nil"/>
          <w:bottom w:val="nil"/>
          <w:right w:val="nil"/>
          <w:between w:val="nil"/>
          <w:bar w:val="nil"/>
        </w:pBdr>
        <w:spacing w:before="0"/>
        <w:rPr>
          <w:bdr w:val="nil"/>
        </w:rPr>
      </w:pPr>
    </w:p>
    <w:p w:rsidR="00855595" w:rsidRPr="00855595" w:rsidRDefault="00A82039" w:rsidP="00BC514F">
      <w:pPr>
        <w:pStyle w:val="Corpodetextobt3"/>
        <w:widowControl/>
        <w:pBdr>
          <w:top w:val="nil"/>
          <w:left w:val="nil"/>
          <w:bottom w:val="nil"/>
          <w:right w:val="nil"/>
          <w:between w:val="nil"/>
          <w:bar w:val="nil"/>
        </w:pBdr>
        <w:tabs>
          <w:tab w:val="left" w:pos="8931"/>
        </w:tabs>
        <w:rPr>
          <w:sz w:val="18"/>
          <w:szCs w:val="18"/>
          <w:bdr w:val="nil"/>
        </w:rPr>
      </w:pPr>
      <w:r>
        <w:rPr>
          <w:sz w:val="18"/>
          <w:szCs w:val="18"/>
          <w:bdr w:val="nil"/>
        </w:rPr>
        <w:t xml:space="preserve">O </w:t>
      </w:r>
      <w:r w:rsidRPr="00855595">
        <w:rPr>
          <w:sz w:val="18"/>
          <w:szCs w:val="18"/>
          <w:bdr w:val="nil"/>
        </w:rPr>
        <w:t>Capital Social</w:t>
      </w:r>
      <w:r>
        <w:rPr>
          <w:sz w:val="18"/>
          <w:szCs w:val="18"/>
          <w:bdr w:val="nil"/>
        </w:rPr>
        <w:t>, totalmente subscrito e integralizado,</w:t>
      </w:r>
      <w:r w:rsidRPr="00855595">
        <w:rPr>
          <w:sz w:val="18"/>
          <w:szCs w:val="18"/>
          <w:bdr w:val="nil"/>
        </w:rPr>
        <w:t xml:space="preserve"> de R$ 656.103 mil </w:t>
      </w:r>
      <w:r>
        <w:rPr>
          <w:sz w:val="18"/>
          <w:szCs w:val="18"/>
          <w:bdr w:val="nil"/>
        </w:rPr>
        <w:t xml:space="preserve">(R$ 656.103 mil em 31.12.2018), </w:t>
      </w:r>
      <w:r w:rsidRPr="00855595">
        <w:rPr>
          <w:sz w:val="18"/>
          <w:szCs w:val="18"/>
          <w:bdr w:val="nil"/>
        </w:rPr>
        <w:t>está dividido em 656.102.904 ações, sendo 328.051.452 ações ordinárias e 328.051.452 ações preferenciais, representadas na forma escritural e sem valor nominal.</w:t>
      </w:r>
    </w:p>
    <w:tbl>
      <w:tblPr>
        <w:tblW w:w="9705" w:type="dxa"/>
        <w:tblLayout w:type="fixed"/>
        <w:tblLook w:val="0600" w:firstRow="0" w:lastRow="0" w:firstColumn="0" w:lastColumn="0" w:noHBand="1" w:noVBand="1"/>
        <w:tblCaption w:val="NEPATRIMONIOLIQCapSocial"/>
      </w:tblPr>
      <w:tblGrid>
        <w:gridCol w:w="6405"/>
        <w:gridCol w:w="1650"/>
        <w:gridCol w:w="1650"/>
      </w:tblGrid>
      <w:tr w:rsidR="00566CE2">
        <w:trPr>
          <w:cantSplit/>
          <w:trHeight w:val="270"/>
        </w:trPr>
        <w:tc>
          <w:tcPr>
            <w:tcW w:w="6405" w:type="dxa"/>
            <w:tcBorders>
              <w:top w:val="nil"/>
              <w:left w:val="nil"/>
              <w:bottom w:val="single" w:sz="8" w:space="0" w:color="000000"/>
              <w:right w:val="nil"/>
              <w:tl2br w:val="nil"/>
              <w:tr2bl w:val="nil"/>
            </w:tcBorders>
            <w:shd w:val="clear" w:color="FFFFFF" w:fill="FFFFFF"/>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Acionistas</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Ações</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 xml:space="preserve"> % Total</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BB Banco de Investimento S.A. – BB BI</w:t>
            </w:r>
          </w:p>
        </w:tc>
        <w:tc>
          <w:tcPr>
            <w:tcW w:w="1650"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488.796.663</w:t>
            </w:r>
          </w:p>
        </w:tc>
        <w:tc>
          <w:tcPr>
            <w:tcW w:w="1650"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74,5</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i/>
                <w:color w:val="000000"/>
                <w:sz w:val="16"/>
                <w:szCs w:val="22"/>
                <w:bdr w:val="nil"/>
                <w:lang w:eastAsia="en-US"/>
              </w:rPr>
            </w:pPr>
            <w:r>
              <w:rPr>
                <w:rFonts w:eastAsia="Arial" w:cs="Arial"/>
                <w:i/>
                <w:color w:val="000000"/>
                <w:sz w:val="16"/>
                <w:szCs w:val="22"/>
                <w:bdr w:val="nil"/>
                <w:lang w:eastAsia="en-US"/>
              </w:rPr>
              <w:t>BB Cayman Islands Holding – BB CI Holding</w:t>
            </w:r>
          </w:p>
        </w:tc>
        <w:tc>
          <w:tcPr>
            <w:tcW w:w="1650"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167.306.241</w:t>
            </w:r>
          </w:p>
        </w:tc>
        <w:tc>
          <w:tcPr>
            <w:tcW w:w="1650"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25,5</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656.102.904</w:t>
            </w:r>
          </w:p>
        </w:tc>
        <w:tc>
          <w:tcPr>
            <w:tcW w:w="1650"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100</w:t>
            </w:r>
          </w:p>
        </w:tc>
      </w:tr>
    </w:tbl>
    <w:p w:rsidR="004E156D" w:rsidRPr="009E3E6F" w:rsidRDefault="004E156D" w:rsidP="00BC514F">
      <w:pPr>
        <w:pStyle w:val="07-Legenda"/>
        <w:keepLines w:val="0"/>
        <w:pBdr>
          <w:top w:val="nil"/>
          <w:left w:val="nil"/>
          <w:bottom w:val="nil"/>
          <w:right w:val="nil"/>
          <w:between w:val="nil"/>
          <w:bar w:val="nil"/>
        </w:pBdr>
        <w:spacing w:before="0"/>
        <w:rPr>
          <w:sz w:val="20"/>
          <w:bdr w:val="nil"/>
        </w:rPr>
      </w:pPr>
    </w:p>
    <w:p w:rsidR="00953E3F" w:rsidRPr="00411372" w:rsidRDefault="00A82039" w:rsidP="009E3E6F">
      <w:pPr>
        <w:pStyle w:val="PargrafodaLista"/>
        <w:keepNext/>
        <w:numPr>
          <w:ilvl w:val="0"/>
          <w:numId w:val="14"/>
        </w:numPr>
        <w:pBdr>
          <w:top w:val="nil"/>
          <w:left w:val="nil"/>
          <w:bottom w:val="nil"/>
          <w:right w:val="nil"/>
          <w:between w:val="nil"/>
          <w:bar w:val="nil"/>
        </w:pBdr>
        <w:rPr>
          <w:rFonts w:ascii="Arial" w:hAnsi="Arial" w:cs="Arial"/>
          <w:b/>
          <w:sz w:val="18"/>
          <w:szCs w:val="18"/>
          <w:bdr w:val="nil"/>
        </w:rPr>
      </w:pPr>
      <w:r w:rsidRPr="00411372">
        <w:rPr>
          <w:rFonts w:ascii="Arial" w:hAnsi="Arial" w:cs="Arial"/>
          <w:b/>
          <w:sz w:val="18"/>
          <w:szCs w:val="18"/>
          <w:bdr w:val="nil"/>
        </w:rPr>
        <w:t>Reservas de Lucros</w:t>
      </w:r>
    </w:p>
    <w:tbl>
      <w:tblPr>
        <w:tblW w:w="9705" w:type="dxa"/>
        <w:tblLayout w:type="fixed"/>
        <w:tblLook w:val="0600" w:firstRow="0" w:lastRow="0" w:firstColumn="0" w:lastColumn="0" w:noHBand="1" w:noVBand="1"/>
        <w:tblCaption w:val="NEPATRIMONIOLIQResLucros"/>
      </w:tblPr>
      <w:tblGrid>
        <w:gridCol w:w="6405"/>
        <w:gridCol w:w="1650"/>
        <w:gridCol w:w="1650"/>
      </w:tblGrid>
      <w:tr w:rsidR="00566CE2">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Reservas de Lucros</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256.493</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245.990</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Reserva legal</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66.647</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56.144</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Reserva estatutária</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189.846</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189.846</w:t>
            </w:r>
          </w:p>
        </w:tc>
      </w:tr>
    </w:tbl>
    <w:p w:rsidR="004E156D" w:rsidRDefault="004E156D" w:rsidP="00BC514F">
      <w:pPr>
        <w:pStyle w:val="07-Legenda"/>
        <w:keepLines w:val="0"/>
        <w:pBdr>
          <w:top w:val="nil"/>
          <w:left w:val="nil"/>
          <w:bottom w:val="nil"/>
          <w:right w:val="nil"/>
          <w:between w:val="nil"/>
          <w:bar w:val="nil"/>
        </w:pBdr>
        <w:spacing w:before="0"/>
        <w:rPr>
          <w:bdr w:val="nil"/>
        </w:rPr>
      </w:pPr>
    </w:p>
    <w:p w:rsidR="009E483F" w:rsidRDefault="00A82039" w:rsidP="00A75C0D">
      <w:pPr>
        <w:pStyle w:val="Corpodetextobt3"/>
        <w:widowControl/>
        <w:pBdr>
          <w:top w:val="nil"/>
          <w:left w:val="nil"/>
          <w:bottom w:val="nil"/>
          <w:right w:val="nil"/>
          <w:between w:val="nil"/>
          <w:bar w:val="nil"/>
        </w:pBdr>
        <w:tabs>
          <w:tab w:val="left" w:pos="8931"/>
        </w:tabs>
        <w:rPr>
          <w:sz w:val="18"/>
          <w:szCs w:val="18"/>
          <w:bdr w:val="nil"/>
        </w:rPr>
      </w:pPr>
      <w:r>
        <w:rPr>
          <w:sz w:val="18"/>
          <w:szCs w:val="18"/>
          <w:bdr w:val="nil"/>
        </w:rPr>
        <w:t>A Reserva Legal é constituída respeitando o limite de 5% do lucro líquido, limitada a 20% do capital social.</w:t>
      </w:r>
    </w:p>
    <w:p w:rsidR="009E483F" w:rsidRDefault="009E483F" w:rsidP="00A75C0D">
      <w:pPr>
        <w:pStyle w:val="Corpodetextobt3"/>
        <w:widowControl/>
        <w:pBdr>
          <w:top w:val="nil"/>
          <w:left w:val="nil"/>
          <w:bottom w:val="nil"/>
          <w:right w:val="nil"/>
          <w:between w:val="nil"/>
          <w:bar w:val="nil"/>
        </w:pBdr>
        <w:tabs>
          <w:tab w:val="left" w:pos="8931"/>
        </w:tabs>
        <w:rPr>
          <w:sz w:val="18"/>
          <w:szCs w:val="18"/>
          <w:bdr w:val="nil"/>
        </w:rPr>
      </w:pPr>
    </w:p>
    <w:p w:rsidR="004E156D" w:rsidRDefault="00A82039" w:rsidP="00A75C0D">
      <w:pPr>
        <w:pStyle w:val="Corpodetextobt3"/>
        <w:widowControl/>
        <w:pBdr>
          <w:top w:val="nil"/>
          <w:left w:val="nil"/>
          <w:bottom w:val="nil"/>
          <w:right w:val="nil"/>
          <w:between w:val="nil"/>
          <w:bar w:val="nil"/>
        </w:pBdr>
        <w:tabs>
          <w:tab w:val="left" w:pos="8931"/>
        </w:tabs>
        <w:rPr>
          <w:sz w:val="18"/>
          <w:szCs w:val="18"/>
          <w:bdr w:val="nil"/>
        </w:rPr>
      </w:pPr>
      <w:r>
        <w:rPr>
          <w:sz w:val="18"/>
          <w:szCs w:val="18"/>
          <w:bdr w:val="nil"/>
        </w:rPr>
        <w:t>A Reserva Estatutária tem por finalidade garantir margem operacional compatível com o desenvolvimento das operações da sociedade, podendo ser constituída por até 100% do lucro líquido após as destinações legais, inclusive dividendos, limitada a 100% do Capital Social.</w:t>
      </w:r>
    </w:p>
    <w:p w:rsidR="00ED63A4" w:rsidRDefault="00ED63A4" w:rsidP="00ED63A4">
      <w:pPr>
        <w:pStyle w:val="08-Tabelageral"/>
        <w:pBdr>
          <w:top w:val="nil"/>
          <w:left w:val="nil"/>
          <w:bottom w:val="nil"/>
          <w:right w:val="nil"/>
          <w:between w:val="nil"/>
          <w:bar w:val="nil"/>
        </w:pBdr>
        <w:jc w:val="left"/>
        <w:rPr>
          <w:rFonts w:ascii="Arial" w:hAnsi="Arial"/>
          <w:kern w:val="0"/>
          <w:sz w:val="18"/>
          <w:szCs w:val="18"/>
          <w:bdr w:val="nil"/>
        </w:rPr>
      </w:pPr>
    </w:p>
    <w:p w:rsidR="00FD082E" w:rsidRPr="00411372" w:rsidRDefault="00A82039" w:rsidP="00FD082E">
      <w:pPr>
        <w:pStyle w:val="PargrafodaLista"/>
        <w:keepNext/>
        <w:numPr>
          <w:ilvl w:val="0"/>
          <w:numId w:val="14"/>
        </w:numPr>
        <w:pBdr>
          <w:top w:val="nil"/>
          <w:left w:val="nil"/>
          <w:bottom w:val="nil"/>
          <w:right w:val="nil"/>
          <w:between w:val="nil"/>
          <w:bar w:val="nil"/>
        </w:pBdr>
        <w:rPr>
          <w:rFonts w:ascii="Arial" w:hAnsi="Arial" w:cs="Arial"/>
          <w:b/>
          <w:sz w:val="18"/>
          <w:szCs w:val="18"/>
          <w:bdr w:val="nil"/>
        </w:rPr>
      </w:pPr>
      <w:r>
        <w:rPr>
          <w:rFonts w:ascii="Arial" w:hAnsi="Arial" w:cs="Arial"/>
          <w:b/>
          <w:sz w:val="18"/>
          <w:szCs w:val="18"/>
          <w:bdr w:val="nil"/>
        </w:rPr>
        <w:t>Dividendos e Distribuição de Lucro Líquido</w:t>
      </w:r>
    </w:p>
    <w:tbl>
      <w:tblPr>
        <w:tblW w:w="9705" w:type="dxa"/>
        <w:tblLayout w:type="fixed"/>
        <w:tblLook w:val="0600" w:firstRow="0" w:lastRow="0" w:firstColumn="0" w:lastColumn="0" w:noHBand="1" w:noVBand="1"/>
        <w:tblCaption w:val="NEPATRIMONIOLIQDivDistLuLiq"/>
      </w:tblPr>
      <w:tblGrid>
        <w:gridCol w:w="6405"/>
        <w:gridCol w:w="1650"/>
        <w:gridCol w:w="1650"/>
      </w:tblGrid>
      <w:tr w:rsidR="00566CE2">
        <w:trPr>
          <w:cantSplit/>
          <w:trHeight w:val="240"/>
        </w:trPr>
        <w:tc>
          <w:tcPr>
            <w:tcW w:w="6405" w:type="dxa"/>
            <w:tcBorders>
              <w:top w:val="nil"/>
              <w:left w:val="nil"/>
              <w:bottom w:val="single" w:sz="8" w:space="0" w:color="000000"/>
              <w:right w:val="nil"/>
              <w:tl2br w:val="nil"/>
              <w:tr2bl w:val="nil"/>
            </w:tcBorders>
            <w:shd w:val="clear" w:color="auto" w:fill="auto"/>
            <w:tcMar>
              <w:left w:w="0" w:type="dxa"/>
              <w:right w:w="0" w:type="dxa"/>
            </w:tcMa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Lucro Líquido do Período</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210.068</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133.658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Reserva legal constituída no período</w:t>
            </w:r>
          </w:p>
        </w:tc>
        <w:tc>
          <w:tcPr>
            <w:tcW w:w="1650"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(10.503)</w:t>
            </w:r>
          </w:p>
        </w:tc>
        <w:tc>
          <w:tcPr>
            <w:tcW w:w="1650"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(6.683)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Base de cálculo</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199.565</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126.975</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 xml:space="preserve">  Dividendo mínimo obrigatório</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49.891</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31.744</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 xml:space="preserve">  Dividendo adicional</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149.674</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95.231</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Saldo destinado ao acionista</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199.565</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126.975</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 xml:space="preserve">Reserva estatutária destinada </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Total destinado ao acionista</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199.565</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126.975</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Saldo do Lucro líquido após as destinações</w:t>
            </w:r>
          </w:p>
        </w:tc>
        <w:tc>
          <w:tcPr>
            <w:tcW w:w="1650"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0</w:t>
            </w:r>
          </w:p>
        </w:tc>
        <w:tc>
          <w:tcPr>
            <w:tcW w:w="1650"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0</w:t>
            </w:r>
          </w:p>
        </w:tc>
      </w:tr>
    </w:tbl>
    <w:p w:rsidR="003B60C3" w:rsidRDefault="003B60C3" w:rsidP="00ED63A4">
      <w:pPr>
        <w:pStyle w:val="08-Tabelageral"/>
        <w:pBdr>
          <w:top w:val="nil"/>
          <w:left w:val="nil"/>
          <w:bottom w:val="nil"/>
          <w:right w:val="nil"/>
          <w:between w:val="nil"/>
          <w:bar w:val="nil"/>
        </w:pBdr>
        <w:jc w:val="left"/>
        <w:rPr>
          <w:rFonts w:ascii="Arial" w:hAnsi="Arial"/>
          <w:kern w:val="0"/>
          <w:sz w:val="18"/>
          <w:szCs w:val="18"/>
          <w:bdr w:val="nil"/>
        </w:rPr>
      </w:pPr>
    </w:p>
    <w:p w:rsidR="00FD082E" w:rsidRPr="00ED63A4" w:rsidRDefault="00A82039" w:rsidP="00ED63A4">
      <w:pPr>
        <w:pStyle w:val="08-Tabelageral"/>
        <w:pBdr>
          <w:top w:val="nil"/>
          <w:left w:val="nil"/>
          <w:bottom w:val="nil"/>
          <w:right w:val="nil"/>
          <w:between w:val="nil"/>
          <w:bar w:val="nil"/>
        </w:pBdr>
        <w:jc w:val="left"/>
        <w:rPr>
          <w:rFonts w:ascii="Arial" w:hAnsi="Arial"/>
          <w:kern w:val="0"/>
          <w:sz w:val="18"/>
          <w:szCs w:val="18"/>
          <w:bdr w:val="nil"/>
        </w:rPr>
      </w:pPr>
      <w:r>
        <w:rPr>
          <w:rFonts w:ascii="Arial" w:hAnsi="Arial"/>
          <w:kern w:val="0"/>
          <w:sz w:val="18"/>
          <w:szCs w:val="18"/>
          <w:bdr w:val="nil"/>
        </w:rPr>
        <w:t>Os dividendos serão corrigidos com base na variação da taxa Selic, da data do balanço até o dia do efetivo pagamento, conforme previsto no Decreto nº 2.673/1998.</w:t>
      </w:r>
    </w:p>
    <w:p w:rsidR="00566CE2" w:rsidRDefault="00566CE2">
      <w:pPr>
        <w:pBdr>
          <w:top w:val="nil"/>
          <w:left w:val="nil"/>
          <w:bottom w:val="nil"/>
          <w:right w:val="nil"/>
          <w:between w:val="nil"/>
          <w:bar w:val="nil"/>
        </w:pBdr>
        <w:spacing w:before="0" w:after="200"/>
        <w:jc w:val="left"/>
        <w:rPr>
          <w:sz w:val="22"/>
          <w:szCs w:val="22"/>
          <w:bdr w:val="nil"/>
          <w:lang w:eastAsia="en-US"/>
        </w:rPr>
      </w:pPr>
    </w:p>
    <w:p w:rsidR="008F2DDF" w:rsidRDefault="00A82039" w:rsidP="00561B28">
      <w:pPr>
        <w:pStyle w:val="02-TtulodeNota"/>
        <w:keepLines w:val="0"/>
        <w:widowControl/>
        <w:pBdr>
          <w:top w:val="nil"/>
          <w:left w:val="nil"/>
          <w:bottom w:val="nil"/>
          <w:right w:val="nil"/>
          <w:between w:val="nil"/>
          <w:bar w:val="nil"/>
        </w:pBdr>
        <w:spacing w:line="276" w:lineRule="auto"/>
        <w:ind w:left="0" w:firstLine="0"/>
        <w:rPr>
          <w:rFonts w:cs="Times New Roman"/>
          <w:color w:val="auto"/>
          <w:bdr w:val="nil"/>
        </w:rPr>
      </w:pPr>
      <w:r w:rsidRPr="00A13367">
        <w:rPr>
          <w:rFonts w:cs="Times New Roman"/>
          <w:color w:val="auto"/>
          <w:szCs w:val="20"/>
          <w:bdr w:val="nil"/>
        </w:rPr>
        <w:lastRenderedPageBreak/>
        <w:t>16</w:t>
      </w:r>
      <w:r>
        <w:rPr>
          <w:rFonts w:cs="Times New Roman"/>
          <w:color w:val="auto"/>
          <w:szCs w:val="20"/>
          <w:bdr w:val="nil"/>
        </w:rPr>
        <w:t xml:space="preserve"> - TRIBUTOS</w:t>
      </w:r>
    </w:p>
    <w:p w:rsidR="004A085C" w:rsidRPr="004A085C" w:rsidRDefault="004A085C" w:rsidP="00561B28">
      <w:pPr>
        <w:pStyle w:val="07-Legenda"/>
        <w:keepNext/>
        <w:keepLines w:val="0"/>
        <w:pBdr>
          <w:top w:val="nil"/>
          <w:left w:val="nil"/>
          <w:bottom w:val="nil"/>
          <w:right w:val="nil"/>
          <w:between w:val="nil"/>
          <w:bar w:val="nil"/>
        </w:pBdr>
        <w:spacing w:before="0"/>
        <w:rPr>
          <w:bdr w:val="nil"/>
        </w:rPr>
      </w:pPr>
    </w:p>
    <w:p w:rsidR="00FD0BB8" w:rsidRPr="00CB1F3D" w:rsidRDefault="00A82039" w:rsidP="00561B28">
      <w:pPr>
        <w:pStyle w:val="PargrafodaLista"/>
        <w:keepNext/>
        <w:numPr>
          <w:ilvl w:val="0"/>
          <w:numId w:val="15"/>
        </w:numPr>
        <w:pBdr>
          <w:top w:val="nil"/>
          <w:left w:val="nil"/>
          <w:bottom w:val="nil"/>
          <w:right w:val="nil"/>
          <w:between w:val="nil"/>
          <w:bar w:val="nil"/>
        </w:pBdr>
        <w:ind w:left="357" w:hanging="357"/>
        <w:rPr>
          <w:rFonts w:ascii="Arial" w:hAnsi="Arial" w:cs="Arial"/>
          <w:b/>
          <w:sz w:val="18"/>
          <w:szCs w:val="18"/>
          <w:bdr w:val="nil"/>
        </w:rPr>
      </w:pPr>
      <w:r w:rsidRPr="00CB1F3D">
        <w:rPr>
          <w:rFonts w:ascii="Arial" w:hAnsi="Arial" w:cs="Arial"/>
          <w:b/>
          <w:sz w:val="18"/>
          <w:szCs w:val="18"/>
          <w:bdr w:val="nil"/>
        </w:rPr>
        <w:t>Demonstração das Despesas de IR e CSLL</w:t>
      </w:r>
    </w:p>
    <w:tbl>
      <w:tblPr>
        <w:tblW w:w="9705" w:type="dxa"/>
        <w:tblLayout w:type="fixed"/>
        <w:tblLook w:val="0600" w:firstRow="0" w:lastRow="0" w:firstColumn="0" w:lastColumn="0" w:noHBand="1" w:noVBand="1"/>
        <w:tblCaption w:val="NETRIBUTOSDespIRCSLL"/>
      </w:tblPr>
      <w:tblGrid>
        <w:gridCol w:w="6405"/>
        <w:gridCol w:w="1650"/>
        <w:gridCol w:w="1650"/>
      </w:tblGrid>
      <w:tr w:rsidR="00566CE2">
        <w:trPr>
          <w:cantSplit/>
          <w:trHeight w:val="270"/>
        </w:trPr>
        <w:tc>
          <w:tcPr>
            <w:tcW w:w="9705" w:type="dxa"/>
            <w:gridSpan w:val="3"/>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Valores Correntes</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(107.979)</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(66.405)</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IR e CSLL no país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(107.979)</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(66.405)</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Valores Diferidos</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2.124</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(642)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 xml:space="preserve">Total </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(105.855)</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(67.047)</w:t>
            </w:r>
          </w:p>
        </w:tc>
      </w:tr>
    </w:tbl>
    <w:p w:rsidR="009E331C" w:rsidRPr="00320FA8" w:rsidRDefault="009E331C" w:rsidP="0043224C">
      <w:pPr>
        <w:pStyle w:val="07-Legenda"/>
        <w:keepLines w:val="0"/>
        <w:pBdr>
          <w:top w:val="nil"/>
          <w:left w:val="nil"/>
          <w:bottom w:val="nil"/>
          <w:right w:val="nil"/>
          <w:between w:val="nil"/>
          <w:bar w:val="nil"/>
        </w:pBdr>
        <w:rPr>
          <w:bdr w:val="nil"/>
        </w:rPr>
      </w:pPr>
    </w:p>
    <w:p w:rsidR="00FD0BB8" w:rsidRPr="00CB1F3D" w:rsidRDefault="00A82039" w:rsidP="00561B28">
      <w:pPr>
        <w:pStyle w:val="PargrafodaLista"/>
        <w:keepNext/>
        <w:numPr>
          <w:ilvl w:val="0"/>
          <w:numId w:val="15"/>
        </w:numPr>
        <w:pBdr>
          <w:top w:val="nil"/>
          <w:left w:val="nil"/>
          <w:bottom w:val="nil"/>
          <w:right w:val="nil"/>
          <w:between w:val="nil"/>
          <w:bar w:val="nil"/>
        </w:pBdr>
        <w:ind w:left="357" w:hanging="357"/>
        <w:rPr>
          <w:rFonts w:ascii="Arial" w:hAnsi="Arial" w:cs="Arial"/>
          <w:b/>
          <w:sz w:val="18"/>
          <w:szCs w:val="18"/>
          <w:bdr w:val="nil"/>
        </w:rPr>
      </w:pPr>
      <w:r w:rsidRPr="00CB1F3D">
        <w:rPr>
          <w:rFonts w:ascii="Arial" w:hAnsi="Arial" w:cs="Arial"/>
          <w:b/>
          <w:sz w:val="18"/>
          <w:szCs w:val="18"/>
          <w:bdr w:val="nil"/>
        </w:rPr>
        <w:t>Conciliação dos Encargos de IR e CSLL</w:t>
      </w:r>
    </w:p>
    <w:tbl>
      <w:tblPr>
        <w:tblW w:w="9705" w:type="dxa"/>
        <w:tblLayout w:type="fixed"/>
        <w:tblLook w:val="0600" w:firstRow="0" w:lastRow="0" w:firstColumn="0" w:lastColumn="0" w:noHBand="1" w:noVBand="1"/>
        <w:tblCaption w:val="NETRIBUTOSConciIRCSLL"/>
      </w:tblPr>
      <w:tblGrid>
        <w:gridCol w:w="6405"/>
        <w:gridCol w:w="1650"/>
        <w:gridCol w:w="1650"/>
      </w:tblGrid>
      <w:tr w:rsidR="00566CE2">
        <w:trPr>
          <w:cantSplit/>
          <w:trHeight w:val="270"/>
        </w:trPr>
        <w:tc>
          <w:tcPr>
            <w:tcW w:w="9705" w:type="dxa"/>
            <w:gridSpan w:val="3"/>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Resultado antes dos tributos e participações</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318.403</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202.712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Encargo total do IR (25%) e da CSLL (9%)</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(108.257)</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(68.922)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Rendas de ajustes de investimentos em coligadas e controladas</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1.365</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1.262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Participações no lucro - empregados</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336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250</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 xml:space="preserve">Outros valores </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701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363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IR e CSLL do período</w:t>
            </w:r>
          </w:p>
        </w:tc>
        <w:tc>
          <w:tcPr>
            <w:tcW w:w="1650"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(105.855)</w:t>
            </w:r>
          </w:p>
        </w:tc>
        <w:tc>
          <w:tcPr>
            <w:tcW w:w="1650"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(67.047)</w:t>
            </w:r>
          </w:p>
        </w:tc>
      </w:tr>
    </w:tbl>
    <w:p w:rsidR="00F63A6F" w:rsidRDefault="00F63A6F" w:rsidP="0043224C">
      <w:pPr>
        <w:pStyle w:val="07-Legenda"/>
        <w:keepLines w:val="0"/>
        <w:pBdr>
          <w:top w:val="nil"/>
          <w:left w:val="nil"/>
          <w:bottom w:val="nil"/>
          <w:right w:val="nil"/>
          <w:between w:val="nil"/>
          <w:bar w:val="nil"/>
        </w:pBdr>
        <w:rPr>
          <w:bdr w:val="nil"/>
        </w:rPr>
      </w:pPr>
    </w:p>
    <w:p w:rsidR="000E7A66" w:rsidRPr="00CB1F3D" w:rsidRDefault="00A82039" w:rsidP="00561B28">
      <w:pPr>
        <w:pStyle w:val="PargrafodaLista"/>
        <w:keepNext/>
        <w:numPr>
          <w:ilvl w:val="0"/>
          <w:numId w:val="15"/>
        </w:numPr>
        <w:pBdr>
          <w:top w:val="nil"/>
          <w:left w:val="nil"/>
          <w:bottom w:val="nil"/>
          <w:right w:val="nil"/>
          <w:between w:val="nil"/>
          <w:bar w:val="nil"/>
        </w:pBdr>
        <w:ind w:left="357" w:hanging="357"/>
        <w:rPr>
          <w:rFonts w:ascii="Arial" w:hAnsi="Arial" w:cs="Arial"/>
          <w:b/>
          <w:sz w:val="18"/>
          <w:szCs w:val="18"/>
          <w:bdr w:val="nil"/>
        </w:rPr>
      </w:pPr>
      <w:r w:rsidRPr="00CB1F3D">
        <w:rPr>
          <w:rFonts w:ascii="Arial" w:hAnsi="Arial" w:cs="Arial"/>
          <w:b/>
          <w:sz w:val="18"/>
          <w:szCs w:val="18"/>
          <w:bdr w:val="nil"/>
        </w:rPr>
        <w:t>Despesas Tributárias</w:t>
      </w:r>
    </w:p>
    <w:tbl>
      <w:tblPr>
        <w:tblW w:w="9705" w:type="dxa"/>
        <w:tblLayout w:type="fixed"/>
        <w:tblLook w:val="0600" w:firstRow="0" w:lastRow="0" w:firstColumn="0" w:lastColumn="0" w:noHBand="1" w:noVBand="1"/>
        <w:tblCaption w:val="NETRIBUTOSDespTribut"/>
      </w:tblPr>
      <w:tblGrid>
        <w:gridCol w:w="6405"/>
        <w:gridCol w:w="1650"/>
        <w:gridCol w:w="1650"/>
      </w:tblGrid>
      <w:tr w:rsidR="00566CE2">
        <w:trPr>
          <w:cantSplit/>
          <w:trHeight w:val="270"/>
        </w:trPr>
        <w:tc>
          <w:tcPr>
            <w:tcW w:w="9705" w:type="dxa"/>
            <w:gridSpan w:val="3"/>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Cofins</w:t>
            </w:r>
            <w:r>
              <w:rPr>
                <w:rFonts w:eastAsia="Arial" w:cs="Arial"/>
                <w:color w:val="000000"/>
                <w:sz w:val="16"/>
                <w:szCs w:val="22"/>
                <w:bdr w:val="nil"/>
                <w:vertAlign w:val="superscript"/>
                <w:lang w:eastAsia="en-US"/>
              </w:rPr>
              <w:t>(1)</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(30.320)</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(23.279)</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PIS/Pasep</w:t>
            </w:r>
            <w:r>
              <w:rPr>
                <w:rFonts w:eastAsia="Arial" w:cs="Arial"/>
                <w:color w:val="000000"/>
                <w:sz w:val="16"/>
                <w:szCs w:val="22"/>
                <w:bdr w:val="nil"/>
                <w:vertAlign w:val="superscript"/>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(4.927)</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(3.783)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Outras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(85)</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(35.348)</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(27.147)</w:t>
            </w:r>
          </w:p>
        </w:tc>
      </w:tr>
    </w:tbl>
    <w:p w:rsidR="0070265E" w:rsidRDefault="00A82039" w:rsidP="0070265E">
      <w:pPr>
        <w:pStyle w:val="07-Legenda"/>
        <w:numPr>
          <w:ilvl w:val="0"/>
          <w:numId w:val="16"/>
        </w:numPr>
        <w:pBdr>
          <w:top w:val="nil"/>
          <w:left w:val="nil"/>
          <w:bottom w:val="nil"/>
          <w:right w:val="nil"/>
          <w:between w:val="nil"/>
          <w:bar w:val="nil"/>
        </w:pBdr>
        <w:rPr>
          <w:bdr w:val="nil"/>
        </w:rPr>
      </w:pPr>
      <w:r>
        <w:rPr>
          <w:bdr w:val="nil"/>
        </w:rPr>
        <w:t>Deduções da receita bruta.</w:t>
      </w:r>
    </w:p>
    <w:p w:rsidR="00A76B19" w:rsidRPr="00E81D94" w:rsidRDefault="00A76B19" w:rsidP="0077756B">
      <w:pPr>
        <w:pStyle w:val="07-Legenda"/>
        <w:keepLines w:val="0"/>
        <w:pBdr>
          <w:top w:val="nil"/>
          <w:left w:val="nil"/>
          <w:bottom w:val="nil"/>
          <w:right w:val="nil"/>
          <w:between w:val="nil"/>
          <w:bar w:val="nil"/>
        </w:pBdr>
        <w:suppressAutoHyphens w:val="0"/>
        <w:rPr>
          <w:bdr w:val="nil"/>
        </w:rPr>
      </w:pPr>
    </w:p>
    <w:p w:rsidR="00FD0BB8" w:rsidRPr="00CB1F3D" w:rsidRDefault="00A82039" w:rsidP="003B60C3">
      <w:pPr>
        <w:pStyle w:val="PargrafodaLista"/>
        <w:numPr>
          <w:ilvl w:val="0"/>
          <w:numId w:val="15"/>
        </w:numPr>
        <w:pBdr>
          <w:top w:val="nil"/>
          <w:left w:val="nil"/>
          <w:bottom w:val="nil"/>
          <w:right w:val="nil"/>
          <w:between w:val="nil"/>
          <w:bar w:val="nil"/>
        </w:pBdr>
        <w:ind w:left="357" w:hanging="357"/>
        <w:rPr>
          <w:rFonts w:ascii="Arial" w:hAnsi="Arial" w:cs="Arial"/>
          <w:b/>
          <w:sz w:val="18"/>
          <w:szCs w:val="18"/>
          <w:bdr w:val="nil"/>
        </w:rPr>
      </w:pPr>
      <w:r w:rsidRPr="00CB1F3D">
        <w:rPr>
          <w:rFonts w:ascii="Arial" w:hAnsi="Arial" w:cs="Arial"/>
          <w:b/>
          <w:sz w:val="18"/>
          <w:szCs w:val="18"/>
          <w:bdr w:val="nil"/>
        </w:rPr>
        <w:t>Ativo Fiscal Diferido (Crédito Tributário)</w:t>
      </w:r>
    </w:p>
    <w:p w:rsidR="000E7A66" w:rsidRDefault="00A82039" w:rsidP="003B60C3">
      <w:pPr>
        <w:pStyle w:val="01-Textonormal5"/>
        <w:pBdr>
          <w:top w:val="nil"/>
          <w:left w:val="nil"/>
          <w:bottom w:val="nil"/>
          <w:right w:val="nil"/>
          <w:between w:val="nil"/>
          <w:bar w:val="nil"/>
        </w:pBdr>
        <w:suppressAutoHyphens w:val="0"/>
        <w:spacing w:before="0" w:after="200" w:line="276" w:lineRule="auto"/>
        <w:ind w:left="357" w:hanging="357"/>
        <w:contextualSpacing/>
        <w:jc w:val="left"/>
        <w:rPr>
          <w:rFonts w:eastAsia="Arial" w:cs="Arial"/>
          <w:b/>
          <w:bdr w:val="nil"/>
        </w:rPr>
      </w:pPr>
      <w:r>
        <w:rPr>
          <w:rFonts w:eastAsia="Arial" w:cs="Arial"/>
          <w:b/>
          <w:bdr w:val="nil"/>
        </w:rPr>
        <w:t>Ativado</w:t>
      </w:r>
    </w:p>
    <w:tbl>
      <w:tblPr>
        <w:tblW w:w="9675" w:type="dxa"/>
        <w:tblLayout w:type="fixed"/>
        <w:tblLook w:val="0600" w:firstRow="0" w:lastRow="0" w:firstColumn="0" w:lastColumn="0" w:noHBand="1" w:noVBand="1"/>
        <w:tblCaption w:val="NETRIBUTOSAnoFiscDif"/>
      </w:tblPr>
      <w:tblGrid>
        <w:gridCol w:w="5205"/>
        <w:gridCol w:w="1080"/>
        <w:gridCol w:w="45"/>
        <w:gridCol w:w="1125"/>
        <w:gridCol w:w="1065"/>
        <w:gridCol w:w="45"/>
        <w:gridCol w:w="1110"/>
      </w:tblGrid>
      <w:tr w:rsidR="00566CE2">
        <w:trPr>
          <w:cantSplit/>
          <w:trHeight w:val="270"/>
        </w:trPr>
        <w:tc>
          <w:tcPr>
            <w:tcW w:w="5205"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rsidP="003B60C3">
            <w:pPr>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08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rsidP="003B60C3">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45"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rsidP="003B60C3">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125"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rsidP="003B60C3">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065"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rsidP="003B60C3">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45"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rsidP="003B60C3">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11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rsidP="003B60C3">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5205" w:type="dxa"/>
            <w:tcBorders>
              <w:top w:val="single" w:sz="8" w:space="0" w:color="000000"/>
              <w:left w:val="nil"/>
              <w:bottom w:val="nil"/>
              <w:right w:val="nil"/>
              <w:tl2br w:val="nil"/>
              <w:tr2bl w:val="nil"/>
            </w:tcBorders>
            <w:shd w:val="clear" w:color="auto" w:fill="auto"/>
            <w:tcMar>
              <w:left w:w="0" w:type="dxa"/>
              <w:right w:w="0" w:type="dxa"/>
            </w:tcMar>
            <w:vAlign w:val="center"/>
          </w:tcPr>
          <w:p w:rsidR="00566CE2" w:rsidRDefault="00566CE2" w:rsidP="003B60C3">
            <w:pPr>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08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rsidP="003B60C3">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31.12.2018</w:t>
            </w:r>
          </w:p>
        </w:tc>
        <w:tc>
          <w:tcPr>
            <w:tcW w:w="45" w:type="dxa"/>
            <w:tcBorders>
              <w:top w:val="single" w:sz="8" w:space="0" w:color="000000"/>
              <w:left w:val="nil"/>
              <w:bottom w:val="nil"/>
              <w:right w:val="nil"/>
              <w:tl2br w:val="nil"/>
              <w:tr2bl w:val="nil"/>
            </w:tcBorders>
            <w:shd w:val="clear" w:color="auto" w:fill="auto"/>
            <w:tcMar>
              <w:left w:w="0" w:type="dxa"/>
              <w:right w:w="0" w:type="dxa"/>
            </w:tcMar>
            <w:vAlign w:val="center"/>
          </w:tcPr>
          <w:p w:rsidR="00566CE2" w:rsidRDefault="00566CE2" w:rsidP="003B60C3">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219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rsidP="003B60C3">
            <w:pPr>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c>
          <w:tcPr>
            <w:tcW w:w="45" w:type="dxa"/>
            <w:tcBorders>
              <w:top w:val="single" w:sz="8" w:space="0" w:color="000000"/>
              <w:left w:val="nil"/>
              <w:bottom w:val="nil"/>
              <w:right w:val="nil"/>
              <w:tl2br w:val="nil"/>
              <w:tr2bl w:val="nil"/>
            </w:tcBorders>
            <w:shd w:val="clear" w:color="auto" w:fill="auto"/>
            <w:tcMar>
              <w:left w:w="0" w:type="dxa"/>
              <w:right w:w="0" w:type="dxa"/>
            </w:tcMar>
            <w:vAlign w:val="center"/>
          </w:tcPr>
          <w:p w:rsidR="00566CE2" w:rsidRDefault="00566CE2" w:rsidP="003B60C3">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11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rsidP="003B60C3">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5205"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rsidP="003B60C3">
            <w:pPr>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08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rsidP="003B60C3">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Saldo</w:t>
            </w:r>
          </w:p>
        </w:tc>
        <w:tc>
          <w:tcPr>
            <w:tcW w:w="45"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rsidP="003B60C3">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12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rsidP="003B60C3">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Constituição</w:t>
            </w:r>
          </w:p>
        </w:tc>
        <w:tc>
          <w:tcPr>
            <w:tcW w:w="106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rsidP="003B60C3">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Baixa</w:t>
            </w:r>
          </w:p>
        </w:tc>
        <w:tc>
          <w:tcPr>
            <w:tcW w:w="45"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rsidP="003B60C3">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11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rsidP="003B60C3">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Saldo</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205"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rsidP="003B60C3">
            <w:pPr>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Diferenças temporárias</w:t>
            </w:r>
          </w:p>
        </w:tc>
        <w:tc>
          <w:tcPr>
            <w:tcW w:w="108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66CE2" w:rsidRDefault="00A82039" w:rsidP="003B60C3">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7.914</w:t>
            </w:r>
          </w:p>
        </w:tc>
        <w:tc>
          <w:tcPr>
            <w:tcW w:w="45" w:type="dxa"/>
            <w:tcBorders>
              <w:top w:val="single" w:sz="8" w:space="0" w:color="000000"/>
              <w:left w:val="nil"/>
              <w:bottom w:val="nil"/>
              <w:right w:val="nil"/>
              <w:tl2br w:val="nil"/>
              <w:tr2bl w:val="nil"/>
            </w:tcBorders>
            <w:shd w:val="clear" w:color="auto" w:fill="auto"/>
            <w:noWrap/>
            <w:tcMar>
              <w:left w:w="0" w:type="dxa"/>
              <w:right w:w="0" w:type="dxa"/>
            </w:tcMar>
            <w:vAlign w:val="center"/>
          </w:tcPr>
          <w:p w:rsidR="00566CE2" w:rsidRDefault="00566CE2" w:rsidP="003B60C3">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125"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66CE2" w:rsidRDefault="00A82039" w:rsidP="003B60C3">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2.468</w:t>
            </w:r>
          </w:p>
        </w:tc>
        <w:tc>
          <w:tcPr>
            <w:tcW w:w="1065"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66CE2" w:rsidRDefault="00A82039" w:rsidP="003B60C3">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(343)</w:t>
            </w:r>
          </w:p>
        </w:tc>
        <w:tc>
          <w:tcPr>
            <w:tcW w:w="45" w:type="dxa"/>
            <w:tcBorders>
              <w:top w:val="single" w:sz="8" w:space="0" w:color="000000"/>
              <w:left w:val="nil"/>
              <w:bottom w:val="nil"/>
              <w:right w:val="nil"/>
              <w:tl2br w:val="nil"/>
              <w:tr2bl w:val="nil"/>
            </w:tcBorders>
            <w:shd w:val="clear" w:color="auto" w:fill="auto"/>
            <w:noWrap/>
            <w:tcMar>
              <w:left w:w="0" w:type="dxa"/>
              <w:right w:w="0" w:type="dxa"/>
            </w:tcMar>
            <w:vAlign w:val="center"/>
          </w:tcPr>
          <w:p w:rsidR="00566CE2" w:rsidRDefault="00566CE2" w:rsidP="003B60C3">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11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66CE2" w:rsidRDefault="00A82039" w:rsidP="003B60C3">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10.039</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205" w:type="dxa"/>
            <w:tcBorders>
              <w:top w:val="nil"/>
              <w:left w:val="nil"/>
              <w:bottom w:val="nil"/>
              <w:right w:val="nil"/>
              <w:tl2br w:val="nil"/>
              <w:tr2bl w:val="nil"/>
            </w:tcBorders>
            <w:shd w:val="clear" w:color="auto" w:fill="auto"/>
            <w:tcMar>
              <w:left w:w="40" w:type="dxa"/>
              <w:right w:w="40" w:type="dxa"/>
            </w:tcMar>
            <w:vAlign w:val="center"/>
          </w:tcPr>
          <w:p w:rsidR="00566CE2" w:rsidRDefault="00A82039" w:rsidP="003B60C3">
            <w:pPr>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Provisões passivas</w:t>
            </w:r>
          </w:p>
        </w:tc>
        <w:tc>
          <w:tcPr>
            <w:tcW w:w="108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rsidP="003B60C3">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7.914</w:t>
            </w:r>
          </w:p>
        </w:tc>
        <w:tc>
          <w:tcPr>
            <w:tcW w:w="45"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rsidP="003B60C3">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25"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rsidP="003B60C3">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2.468</w:t>
            </w:r>
          </w:p>
        </w:tc>
        <w:tc>
          <w:tcPr>
            <w:tcW w:w="1065"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rsidP="003B60C3">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(343)</w:t>
            </w:r>
          </w:p>
        </w:tc>
        <w:tc>
          <w:tcPr>
            <w:tcW w:w="45"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rsidP="003B60C3">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1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rsidP="003B60C3">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10.039</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205" w:type="dxa"/>
            <w:tcBorders>
              <w:top w:val="nil"/>
              <w:left w:val="nil"/>
              <w:bottom w:val="nil"/>
              <w:right w:val="nil"/>
              <w:tl2br w:val="nil"/>
              <w:tr2bl w:val="nil"/>
            </w:tcBorders>
            <w:shd w:val="clear" w:color="auto" w:fill="auto"/>
            <w:tcMar>
              <w:left w:w="40" w:type="dxa"/>
              <w:right w:w="40" w:type="dxa"/>
            </w:tcMar>
            <w:vAlign w:val="center"/>
          </w:tcPr>
          <w:p w:rsidR="00566CE2" w:rsidRDefault="00A82039" w:rsidP="003B60C3">
            <w:pPr>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Total dos créditos tributários ativados</w:t>
            </w:r>
          </w:p>
        </w:tc>
        <w:tc>
          <w:tcPr>
            <w:tcW w:w="108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rsidP="003B60C3">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7.914</w:t>
            </w:r>
          </w:p>
        </w:tc>
        <w:tc>
          <w:tcPr>
            <w:tcW w:w="45"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rsidP="003B60C3">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125"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rsidP="003B60C3">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2.468</w:t>
            </w:r>
          </w:p>
        </w:tc>
        <w:tc>
          <w:tcPr>
            <w:tcW w:w="1065"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rsidP="003B60C3">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(343)</w:t>
            </w:r>
          </w:p>
        </w:tc>
        <w:tc>
          <w:tcPr>
            <w:tcW w:w="45"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rsidP="003B60C3">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11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rsidP="003B60C3">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10.039</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205" w:type="dxa"/>
            <w:tcBorders>
              <w:top w:val="nil"/>
              <w:left w:val="nil"/>
              <w:bottom w:val="nil"/>
              <w:right w:val="nil"/>
              <w:tl2br w:val="nil"/>
              <w:tr2bl w:val="nil"/>
            </w:tcBorders>
            <w:shd w:val="clear" w:color="auto" w:fill="auto"/>
            <w:tcMar>
              <w:left w:w="40" w:type="dxa"/>
              <w:right w:w="40" w:type="dxa"/>
            </w:tcMar>
            <w:vAlign w:val="center"/>
          </w:tcPr>
          <w:p w:rsidR="00566CE2" w:rsidRDefault="00A82039" w:rsidP="003B60C3">
            <w:pPr>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IR</w:t>
            </w:r>
          </w:p>
        </w:tc>
        <w:tc>
          <w:tcPr>
            <w:tcW w:w="108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rsidP="003B60C3">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5.819</w:t>
            </w:r>
          </w:p>
        </w:tc>
        <w:tc>
          <w:tcPr>
            <w:tcW w:w="45"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rsidP="003B60C3">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25"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rsidP="003B60C3">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1.815</w:t>
            </w:r>
          </w:p>
        </w:tc>
        <w:tc>
          <w:tcPr>
            <w:tcW w:w="1065"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rsidP="003B60C3">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(252)</w:t>
            </w:r>
          </w:p>
        </w:tc>
        <w:tc>
          <w:tcPr>
            <w:tcW w:w="45"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rsidP="003B60C3">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1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rsidP="003B60C3">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7.382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20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rsidP="003B60C3">
            <w:pPr>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CSLL</w:t>
            </w:r>
          </w:p>
        </w:tc>
        <w:tc>
          <w:tcPr>
            <w:tcW w:w="108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66CE2" w:rsidRDefault="00A82039" w:rsidP="003B60C3">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2.095</w:t>
            </w:r>
          </w:p>
        </w:tc>
        <w:tc>
          <w:tcPr>
            <w:tcW w:w="45" w:type="dxa"/>
            <w:tcBorders>
              <w:top w:val="nil"/>
              <w:left w:val="nil"/>
              <w:bottom w:val="single" w:sz="8" w:space="0" w:color="000000"/>
              <w:right w:val="nil"/>
              <w:tl2br w:val="nil"/>
              <w:tr2bl w:val="nil"/>
            </w:tcBorders>
            <w:shd w:val="clear" w:color="auto" w:fill="auto"/>
            <w:noWrap/>
            <w:tcMar>
              <w:left w:w="0" w:type="dxa"/>
              <w:right w:w="0" w:type="dxa"/>
            </w:tcMar>
            <w:vAlign w:val="center"/>
          </w:tcPr>
          <w:p w:rsidR="00566CE2" w:rsidRDefault="00566CE2" w:rsidP="003B60C3">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25"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66CE2" w:rsidRDefault="00A82039" w:rsidP="003B60C3">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653</w:t>
            </w:r>
          </w:p>
        </w:tc>
        <w:tc>
          <w:tcPr>
            <w:tcW w:w="1065" w:type="dxa"/>
            <w:tcBorders>
              <w:top w:val="nil"/>
              <w:left w:val="nil"/>
              <w:bottom w:val="single" w:sz="8" w:space="0" w:color="000000"/>
              <w:right w:val="nil"/>
              <w:tl2br w:val="nil"/>
              <w:tr2bl w:val="nil"/>
            </w:tcBorders>
            <w:shd w:val="clear" w:color="auto" w:fill="auto"/>
            <w:noWrap/>
            <w:tcMar>
              <w:left w:w="40" w:type="dxa"/>
              <w:right w:w="40" w:type="dxa"/>
            </w:tcMar>
            <w:vAlign w:val="center"/>
          </w:tcPr>
          <w:p w:rsidR="00566CE2" w:rsidRDefault="00A82039" w:rsidP="003B60C3">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(91)</w:t>
            </w:r>
          </w:p>
        </w:tc>
        <w:tc>
          <w:tcPr>
            <w:tcW w:w="45" w:type="dxa"/>
            <w:tcBorders>
              <w:top w:val="nil"/>
              <w:left w:val="nil"/>
              <w:bottom w:val="single" w:sz="8" w:space="0" w:color="000000"/>
              <w:right w:val="nil"/>
              <w:tl2br w:val="nil"/>
              <w:tr2bl w:val="nil"/>
            </w:tcBorders>
            <w:shd w:val="clear" w:color="auto" w:fill="auto"/>
            <w:noWrap/>
            <w:tcMar>
              <w:left w:w="0" w:type="dxa"/>
              <w:right w:w="0" w:type="dxa"/>
            </w:tcMar>
            <w:vAlign w:val="center"/>
          </w:tcPr>
          <w:p w:rsidR="00566CE2" w:rsidRDefault="00566CE2" w:rsidP="003B60C3">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1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66CE2" w:rsidRDefault="00A82039" w:rsidP="003B60C3">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2.657</w:t>
            </w:r>
          </w:p>
        </w:tc>
      </w:tr>
    </w:tbl>
    <w:p w:rsidR="000E7A66" w:rsidRDefault="00A82039" w:rsidP="003B60C3">
      <w:pPr>
        <w:pStyle w:val="03-SubttulodeNota6"/>
        <w:pBdr>
          <w:top w:val="nil"/>
          <w:left w:val="nil"/>
          <w:bottom w:val="nil"/>
          <w:right w:val="nil"/>
          <w:between w:val="nil"/>
          <w:bar w:val="nil"/>
        </w:pBdr>
        <w:rPr>
          <w:rFonts w:eastAsia="Arial"/>
          <w:bdr w:val="nil"/>
        </w:rPr>
      </w:pPr>
      <w:r>
        <w:rPr>
          <w:rFonts w:eastAsia="Arial"/>
          <w:bdr w:val="nil"/>
        </w:rPr>
        <w:lastRenderedPageBreak/>
        <w:t>Expectativa de Realização</w:t>
      </w:r>
    </w:p>
    <w:p w:rsidR="000E7A66" w:rsidRDefault="00A82039" w:rsidP="003B60C3">
      <w:pPr>
        <w:pStyle w:val="Normal13"/>
        <w:keepNext/>
        <w:pBdr>
          <w:top w:val="nil"/>
          <w:left w:val="nil"/>
          <w:bottom w:val="nil"/>
          <w:right w:val="nil"/>
          <w:between w:val="nil"/>
          <w:bar w:val="nil"/>
        </w:pBdr>
        <w:tabs>
          <w:tab w:val="left" w:pos="426"/>
        </w:tabs>
        <w:spacing w:before="120" w:line="276" w:lineRule="auto"/>
        <w:ind w:right="-1"/>
        <w:jc w:val="both"/>
        <w:rPr>
          <w:rFonts w:ascii="Arial" w:eastAsia="Arial" w:hAnsi="Arial" w:cs="Arial"/>
          <w:sz w:val="18"/>
          <w:szCs w:val="18"/>
          <w:bdr w:val="nil"/>
        </w:rPr>
      </w:pPr>
      <w:r>
        <w:rPr>
          <w:rFonts w:ascii="Arial" w:eastAsia="Arial" w:hAnsi="Arial" w:cs="Arial"/>
          <w:sz w:val="18"/>
          <w:szCs w:val="18"/>
          <w:bdr w:val="nil"/>
        </w:rPr>
        <w:t>A expectativa de realização dos ativos fiscais diferidos (créditos tributários) respalda-se em estudo técnico, atualizado por ocasião da publicação anual, sendo o valor presente apurado com base na taxa média do CDI.</w:t>
      </w:r>
    </w:p>
    <w:p w:rsidR="00007775" w:rsidRDefault="00007775" w:rsidP="003B60C3">
      <w:pPr>
        <w:pStyle w:val="07-Legenda"/>
        <w:keepNext/>
        <w:pBdr>
          <w:top w:val="nil"/>
          <w:left w:val="nil"/>
          <w:bottom w:val="nil"/>
          <w:right w:val="nil"/>
          <w:between w:val="nil"/>
          <w:bar w:val="nil"/>
        </w:pBdr>
        <w:rPr>
          <w:rFonts w:eastAsia="Arial"/>
          <w:bdr w:val="nil"/>
        </w:rPr>
      </w:pPr>
    </w:p>
    <w:tbl>
      <w:tblPr>
        <w:tblW w:w="9705" w:type="dxa"/>
        <w:tblLayout w:type="fixed"/>
        <w:tblLook w:val="0600" w:firstRow="0" w:lastRow="0" w:firstColumn="0" w:lastColumn="0" w:noHBand="1" w:noVBand="1"/>
        <w:tblCaption w:val="NETRIBUTOSExpecRealiz"/>
      </w:tblPr>
      <w:tblGrid>
        <w:gridCol w:w="6405"/>
        <w:gridCol w:w="1650"/>
        <w:gridCol w:w="1650"/>
      </w:tblGrid>
      <w:tr w:rsidR="00566CE2">
        <w:trPr>
          <w:cantSplit/>
          <w:trHeight w:val="27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Valor Nominal</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Valor Presente</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Em 2021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1.383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1.229</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Em 2022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1.747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1.450</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Em 2023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1.580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1.233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Em 2024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1.582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1.160</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Em 2025</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1.303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898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Em 2026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869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563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Em 2027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889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541</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Em 2028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686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393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 de créditos tributários em 31.12.2019</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10.039</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7.467</w:t>
            </w:r>
          </w:p>
        </w:tc>
      </w:tr>
    </w:tbl>
    <w:p w:rsidR="006A66A3" w:rsidRDefault="00A82039" w:rsidP="00C830B3">
      <w:pPr>
        <w:pStyle w:val="Normal13"/>
        <w:pBdr>
          <w:top w:val="nil"/>
          <w:left w:val="nil"/>
          <w:bottom w:val="nil"/>
          <w:right w:val="nil"/>
          <w:between w:val="nil"/>
          <w:bar w:val="nil"/>
        </w:pBdr>
        <w:spacing w:before="200" w:after="200" w:line="276" w:lineRule="auto"/>
        <w:jc w:val="both"/>
        <w:rPr>
          <w:rFonts w:ascii="Arial" w:eastAsia="Arial" w:hAnsi="Arial" w:cs="Arial"/>
          <w:sz w:val="18"/>
          <w:szCs w:val="18"/>
          <w:bdr w:val="nil"/>
        </w:rPr>
      </w:pPr>
      <w:r>
        <w:rPr>
          <w:rFonts w:ascii="Arial" w:eastAsia="Arial" w:hAnsi="Arial" w:cs="Arial"/>
          <w:sz w:val="18"/>
          <w:szCs w:val="18"/>
          <w:bdr w:val="nil"/>
        </w:rPr>
        <w:t>No exercício de 2019, observou-se a realização de créditos tributários na Ativos S.A. no montante de R$ 343 mil.</w:t>
      </w:r>
    </w:p>
    <w:p w:rsidR="00AF6B0B" w:rsidRDefault="00AF6B0B" w:rsidP="00C830B3">
      <w:pPr>
        <w:pStyle w:val="Normal13"/>
        <w:pBdr>
          <w:top w:val="nil"/>
          <w:left w:val="nil"/>
          <w:bottom w:val="nil"/>
          <w:right w:val="nil"/>
          <w:between w:val="nil"/>
          <w:bar w:val="nil"/>
        </w:pBdr>
        <w:spacing w:before="200" w:after="200" w:line="276" w:lineRule="auto"/>
        <w:jc w:val="both"/>
        <w:rPr>
          <w:bdr w:val="nil"/>
        </w:rPr>
      </w:pPr>
    </w:p>
    <w:p w:rsidR="00221720" w:rsidRDefault="00A82039" w:rsidP="00DD3658">
      <w:pPr>
        <w:pStyle w:val="02-TtulodeNota"/>
        <w:widowControl/>
        <w:pBdr>
          <w:top w:val="nil"/>
          <w:left w:val="nil"/>
          <w:bottom w:val="nil"/>
          <w:right w:val="nil"/>
          <w:between w:val="nil"/>
          <w:bar w:val="nil"/>
        </w:pBdr>
        <w:spacing w:after="0" w:line="600" w:lineRule="auto"/>
        <w:rPr>
          <w:rFonts w:cs="Times New Roman"/>
          <w:color w:val="auto"/>
          <w:bdr w:val="nil"/>
        </w:rPr>
      </w:pPr>
      <w:r w:rsidRPr="00B41737">
        <w:rPr>
          <w:rFonts w:cs="Times New Roman"/>
          <w:color w:val="auto"/>
          <w:szCs w:val="20"/>
          <w:bdr w:val="nil"/>
        </w:rPr>
        <w:t>17</w:t>
      </w:r>
      <w:r>
        <w:rPr>
          <w:rFonts w:cs="Times New Roman"/>
          <w:color w:val="auto"/>
          <w:szCs w:val="20"/>
          <w:bdr w:val="nil"/>
        </w:rPr>
        <w:t xml:space="preserve"> - Partes relacionadas</w:t>
      </w:r>
    </w:p>
    <w:p w:rsidR="006C189F" w:rsidRDefault="00A82039" w:rsidP="006C189F">
      <w:pPr>
        <w:pStyle w:val="01-Textonormal"/>
        <w:keepNext/>
        <w:keepLines/>
        <w:pBdr>
          <w:top w:val="nil"/>
          <w:left w:val="nil"/>
          <w:bottom w:val="nil"/>
          <w:right w:val="nil"/>
          <w:between w:val="nil"/>
          <w:bar w:val="nil"/>
        </w:pBdr>
        <w:spacing w:after="0"/>
        <w:rPr>
          <w:b/>
          <w:bdr w:val="nil"/>
        </w:rPr>
      </w:pPr>
      <w:r>
        <w:rPr>
          <w:b/>
          <w:bdr w:val="nil"/>
        </w:rPr>
        <w:t>C</w:t>
      </w:r>
      <w:r w:rsidRPr="009804ED">
        <w:rPr>
          <w:b/>
          <w:bdr w:val="nil"/>
        </w:rPr>
        <w:t xml:space="preserve">ustos com as </w:t>
      </w:r>
      <w:r>
        <w:rPr>
          <w:b/>
          <w:bdr w:val="nil"/>
        </w:rPr>
        <w:t>R</w:t>
      </w:r>
      <w:r w:rsidRPr="009804ED">
        <w:rPr>
          <w:b/>
          <w:bdr w:val="nil"/>
        </w:rPr>
        <w:t xml:space="preserve">emunerações e </w:t>
      </w:r>
      <w:r>
        <w:rPr>
          <w:b/>
          <w:bdr w:val="nil"/>
        </w:rPr>
        <w:t>O</w:t>
      </w:r>
      <w:r w:rsidRPr="009804ED">
        <w:rPr>
          <w:b/>
          <w:bdr w:val="nil"/>
        </w:rPr>
        <w:t xml:space="preserve">utros </w:t>
      </w:r>
      <w:r>
        <w:rPr>
          <w:b/>
          <w:bdr w:val="nil"/>
        </w:rPr>
        <w:t>Benefícios de C</w:t>
      </w:r>
      <w:r w:rsidRPr="009804ED">
        <w:rPr>
          <w:b/>
          <w:bdr w:val="nil"/>
        </w:rPr>
        <w:t xml:space="preserve">urto </w:t>
      </w:r>
      <w:r>
        <w:rPr>
          <w:b/>
          <w:bdr w:val="nil"/>
        </w:rPr>
        <w:t>P</w:t>
      </w:r>
      <w:r w:rsidRPr="009804ED">
        <w:rPr>
          <w:b/>
          <w:bdr w:val="nil"/>
        </w:rPr>
        <w:t>razo</w:t>
      </w:r>
      <w:r>
        <w:rPr>
          <w:b/>
          <w:bdr w:val="nil"/>
        </w:rPr>
        <w:t xml:space="preserve"> da Diretoria e Conselho de Administração</w:t>
      </w:r>
    </w:p>
    <w:tbl>
      <w:tblPr>
        <w:tblW w:w="9705" w:type="dxa"/>
        <w:tblLayout w:type="fixed"/>
        <w:tblLook w:val="0600" w:firstRow="0" w:lastRow="0" w:firstColumn="0" w:lastColumn="0" w:noHBand="1" w:noVBand="1"/>
        <w:tblCaption w:val="NEPARTESRELACIONADASRemuneração"/>
      </w:tblPr>
      <w:tblGrid>
        <w:gridCol w:w="6405"/>
        <w:gridCol w:w="1650"/>
        <w:gridCol w:w="1650"/>
      </w:tblGrid>
      <w:tr w:rsidR="00566CE2">
        <w:trPr>
          <w:cantSplit/>
          <w:trHeight w:val="315"/>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1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Diretoria</w:t>
            </w:r>
          </w:p>
        </w:tc>
        <w:tc>
          <w:tcPr>
            <w:tcW w:w="1650"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2.525</w:t>
            </w:r>
          </w:p>
        </w:tc>
        <w:tc>
          <w:tcPr>
            <w:tcW w:w="1650"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2.790</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Conselho de Administração</w:t>
            </w:r>
          </w:p>
        </w:tc>
        <w:tc>
          <w:tcPr>
            <w:tcW w:w="1650"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335</w:t>
            </w:r>
          </w:p>
        </w:tc>
        <w:tc>
          <w:tcPr>
            <w:tcW w:w="1650"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273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2.860</w:t>
            </w:r>
          </w:p>
        </w:tc>
        <w:tc>
          <w:tcPr>
            <w:tcW w:w="1650"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3.063</w:t>
            </w:r>
          </w:p>
        </w:tc>
      </w:tr>
    </w:tbl>
    <w:p w:rsidR="006C189F" w:rsidRPr="006C4079" w:rsidRDefault="006C189F" w:rsidP="001517BC">
      <w:pPr>
        <w:pStyle w:val="07-Legenda"/>
        <w:pBdr>
          <w:top w:val="nil"/>
          <w:left w:val="nil"/>
          <w:bottom w:val="nil"/>
          <w:right w:val="nil"/>
          <w:between w:val="nil"/>
          <w:bar w:val="nil"/>
        </w:pBdr>
        <w:rPr>
          <w:bdr w:val="nil"/>
        </w:rPr>
      </w:pPr>
    </w:p>
    <w:p w:rsidR="00362A69" w:rsidRPr="00DE3139" w:rsidRDefault="00A82039" w:rsidP="001517BC">
      <w:pPr>
        <w:pStyle w:val="01-Textonormal"/>
        <w:keepLines/>
        <w:pBdr>
          <w:top w:val="nil"/>
          <w:left w:val="nil"/>
          <w:bottom w:val="nil"/>
          <w:right w:val="nil"/>
          <w:between w:val="nil"/>
          <w:bar w:val="nil"/>
        </w:pBdr>
        <w:rPr>
          <w:bdr w:val="nil"/>
        </w:rPr>
      </w:pPr>
      <w:r w:rsidRPr="00DE3139">
        <w:rPr>
          <w:bdr w:val="nil"/>
        </w:rPr>
        <w:t>A Ativos S.A. não concede empréstimos aos seus Diretores</w:t>
      </w:r>
      <w:r>
        <w:rPr>
          <w:bdr w:val="nil"/>
        </w:rPr>
        <w:t xml:space="preserve"> e</w:t>
      </w:r>
      <w:r w:rsidRPr="00DE3139">
        <w:rPr>
          <w:bdr w:val="nil"/>
        </w:rPr>
        <w:t xml:space="preserve"> membros do seu Conselho de Administração.</w:t>
      </w:r>
    </w:p>
    <w:p w:rsidR="00362A69" w:rsidRDefault="00A82039" w:rsidP="001517BC">
      <w:pPr>
        <w:pStyle w:val="01-Textonormal"/>
        <w:keepLines/>
        <w:pBdr>
          <w:top w:val="nil"/>
          <w:left w:val="nil"/>
          <w:bottom w:val="nil"/>
          <w:right w:val="nil"/>
          <w:between w:val="nil"/>
          <w:bar w:val="nil"/>
        </w:pBdr>
        <w:rPr>
          <w:bdr w:val="nil"/>
        </w:rPr>
      </w:pPr>
      <w:r>
        <w:rPr>
          <w:bdr w:val="nil"/>
        </w:rPr>
        <w:t xml:space="preserve">A Ativos S.A. realiza, principalmente com o Banco do Brasil S.A., transações bancárias, tais como depósitos em conta corrente (não remunerados). Há, ainda, contrato de prestação de serviços e convênio para rateio/ressarcimento de despesas e custos diretos e indiretos. </w:t>
      </w:r>
    </w:p>
    <w:p w:rsidR="00362A69" w:rsidRDefault="00A82039" w:rsidP="001517BC">
      <w:pPr>
        <w:pStyle w:val="01-Textonormal"/>
        <w:keepLines/>
        <w:pBdr>
          <w:top w:val="nil"/>
          <w:left w:val="nil"/>
          <w:bottom w:val="nil"/>
          <w:right w:val="nil"/>
          <w:between w:val="nil"/>
          <w:bar w:val="nil"/>
        </w:pBdr>
        <w:rPr>
          <w:bdr w:val="nil"/>
        </w:rPr>
      </w:pPr>
      <w:r>
        <w:rPr>
          <w:bdr w:val="nil"/>
        </w:rPr>
        <w:t>Tais transações são praticadas em condições normais de mercado, substancialmente nos termos e condições para operações comparáveis, incluindo taxas de juros e garantias. Essas operações não envolvem riscos anormais de recebimento.</w:t>
      </w:r>
    </w:p>
    <w:p w:rsidR="00F93679" w:rsidRDefault="00A82039" w:rsidP="00F93679">
      <w:pPr>
        <w:pStyle w:val="050-TextoPadro"/>
        <w:keepNext w:val="0"/>
        <w:keepLines w:val="0"/>
        <w:pBdr>
          <w:top w:val="nil"/>
          <w:left w:val="nil"/>
          <w:bottom w:val="nil"/>
          <w:right w:val="nil"/>
          <w:between w:val="nil"/>
          <w:bar w:val="nil"/>
        </w:pBdr>
        <w:rPr>
          <w:bdr w:val="nil"/>
        </w:rPr>
      </w:pPr>
      <w:r>
        <w:rPr>
          <w:bdr w:val="nil"/>
        </w:rPr>
        <w:t>Adicionalmente, o Banco do Brasil S.A. instituiu a Fundação Banco do Brasil (FBB) que tem por objetivo promover, apoiar, incentivar e patrocinar ações nos campos da educação, cultura, saúde, assistência social, recreação e desporto, ciência e tecnologia e assistência a comunidades urbano-rurais. No exercício de 2019, a Ativos realizou contribuições para a FBB no valor de R$ 1.000 mil (não houve contribuições no exercício de 2018).</w:t>
      </w:r>
    </w:p>
    <w:p w:rsidR="00362A69" w:rsidRDefault="00A82039" w:rsidP="002B57C3">
      <w:pPr>
        <w:pStyle w:val="01-Textonormal"/>
        <w:keepNext/>
        <w:keepLines/>
        <w:pBdr>
          <w:top w:val="nil"/>
          <w:left w:val="nil"/>
          <w:bottom w:val="nil"/>
          <w:right w:val="nil"/>
          <w:between w:val="nil"/>
          <w:bar w:val="nil"/>
        </w:pBdr>
        <w:rPr>
          <w:b/>
          <w:bdr w:val="nil"/>
        </w:rPr>
      </w:pPr>
      <w:r w:rsidRPr="00BB6225">
        <w:rPr>
          <w:b/>
          <w:bdr w:val="nil"/>
        </w:rPr>
        <w:lastRenderedPageBreak/>
        <w:t>Sumário das Transações com Partes Relacionadas</w:t>
      </w:r>
    </w:p>
    <w:p w:rsidR="00362A69" w:rsidRDefault="00A82039" w:rsidP="00B6629C">
      <w:pPr>
        <w:pStyle w:val="Rodap"/>
        <w:keepNext/>
        <w:keepLines/>
        <w:pBdr>
          <w:top w:val="nil"/>
          <w:left w:val="nil"/>
          <w:bottom w:val="nil"/>
          <w:right w:val="nil"/>
          <w:between w:val="nil"/>
          <w:bar w:val="nil"/>
        </w:pBdr>
        <w:tabs>
          <w:tab w:val="left" w:pos="708"/>
        </w:tabs>
        <w:jc w:val="both"/>
        <w:rPr>
          <w:rFonts w:ascii="Arial" w:hAnsi="Arial"/>
          <w:sz w:val="18"/>
          <w:szCs w:val="18"/>
          <w:bdr w:val="nil"/>
        </w:rPr>
      </w:pPr>
      <w:r>
        <w:rPr>
          <w:rFonts w:ascii="Arial" w:hAnsi="Arial"/>
          <w:sz w:val="18"/>
          <w:szCs w:val="18"/>
          <w:bdr w:val="nil"/>
        </w:rPr>
        <w:t>Saldos das operações ativas e passivas da Ativos S.A. com as partes relacionadas e seus respectivos resultados.</w:t>
      </w:r>
    </w:p>
    <w:tbl>
      <w:tblPr>
        <w:tblW w:w="9720" w:type="dxa"/>
        <w:tblLayout w:type="fixed"/>
        <w:tblLook w:val="0600" w:firstRow="0" w:lastRow="0" w:firstColumn="0" w:lastColumn="0" w:noHBand="1" w:noVBand="1"/>
        <w:tblCaption w:val="NEPARTESRELACIONADASPatr"/>
      </w:tblPr>
      <w:tblGrid>
        <w:gridCol w:w="3885"/>
        <w:gridCol w:w="270"/>
        <w:gridCol w:w="285"/>
        <w:gridCol w:w="285"/>
        <w:gridCol w:w="765"/>
        <w:gridCol w:w="270"/>
        <w:gridCol w:w="1395"/>
        <w:gridCol w:w="270"/>
        <w:gridCol w:w="870"/>
        <w:gridCol w:w="285"/>
        <w:gridCol w:w="1065"/>
        <w:gridCol w:w="75"/>
      </w:tblGrid>
      <w:tr w:rsidR="00566CE2">
        <w:trPr>
          <w:cantSplit/>
          <w:trHeight w:val="270"/>
        </w:trPr>
        <w:tc>
          <w:tcPr>
            <w:tcW w:w="4155"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570"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035"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65"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155"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140" w:type="dxa"/>
            <w:gridSpan w:val="2"/>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4155" w:type="dxa"/>
            <w:gridSpan w:val="2"/>
            <w:vMerge w:val="restart"/>
            <w:tcBorders>
              <w:top w:val="single" w:sz="8" w:space="0" w:color="000000"/>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570" w:type="dxa"/>
            <w:gridSpan w:val="2"/>
            <w:tcBorders>
              <w:top w:val="single" w:sz="8" w:space="0" w:color="000000"/>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3855" w:type="dxa"/>
            <w:gridSpan w:val="6"/>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31.12.2019</w:t>
            </w:r>
          </w:p>
        </w:tc>
        <w:tc>
          <w:tcPr>
            <w:tcW w:w="114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55"/>
        </w:trPr>
        <w:tc>
          <w:tcPr>
            <w:tcW w:w="4155" w:type="dxa"/>
            <w:gridSpan w:val="2"/>
            <w:vMerge/>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spacing w:before="0" w:after="0" w:line="240" w:lineRule="auto"/>
              <w:rPr>
                <w:rFonts w:eastAsia="Arial" w:cs="Arial"/>
                <w:b/>
                <w:color w:val="000000"/>
                <w:sz w:val="16"/>
                <w:szCs w:val="22"/>
                <w:bdr w:val="nil"/>
                <w:lang w:eastAsia="en-US"/>
              </w:rPr>
            </w:pPr>
          </w:p>
        </w:tc>
        <w:tc>
          <w:tcPr>
            <w:tcW w:w="570" w:type="dxa"/>
            <w:gridSpan w:val="2"/>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Nota</w:t>
            </w:r>
          </w:p>
        </w:tc>
        <w:tc>
          <w:tcPr>
            <w:tcW w:w="1035"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Banco do      Brasil S.A.</w:t>
            </w:r>
          </w:p>
        </w:tc>
        <w:tc>
          <w:tcPr>
            <w:tcW w:w="1665"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 xml:space="preserve">Outras Partes Relacionadas </w:t>
            </w:r>
            <w:r>
              <w:rPr>
                <w:rFonts w:eastAsia="Arial" w:cs="Arial"/>
                <w:b/>
                <w:color w:val="000000"/>
                <w:sz w:val="16"/>
                <w:szCs w:val="22"/>
                <w:bdr w:val="nil"/>
                <w:vertAlign w:val="superscript"/>
                <w:lang w:eastAsia="en-US"/>
              </w:rPr>
              <w:t>(3)</w:t>
            </w:r>
          </w:p>
        </w:tc>
        <w:tc>
          <w:tcPr>
            <w:tcW w:w="1155"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14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Total</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trPr>
        <w:tc>
          <w:tcPr>
            <w:tcW w:w="4155" w:type="dxa"/>
            <w:gridSpan w:val="2"/>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Ativos</w:t>
            </w:r>
          </w:p>
        </w:tc>
        <w:tc>
          <w:tcPr>
            <w:tcW w:w="570" w:type="dxa"/>
            <w:gridSpan w:val="2"/>
            <w:tcBorders>
              <w:top w:val="single" w:sz="8" w:space="0" w:color="000000"/>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035" w:type="dxa"/>
            <w:gridSpan w:val="2"/>
            <w:tcBorders>
              <w:top w:val="single" w:sz="8" w:space="0" w:color="000000"/>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65" w:type="dxa"/>
            <w:gridSpan w:val="2"/>
            <w:tcBorders>
              <w:top w:val="single" w:sz="8" w:space="0" w:color="000000"/>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55" w:type="dxa"/>
            <w:gridSpan w:val="2"/>
            <w:tcBorders>
              <w:top w:val="single" w:sz="8" w:space="0" w:color="000000"/>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40" w:type="dxa"/>
            <w:gridSpan w:val="2"/>
            <w:tcBorders>
              <w:top w:val="single" w:sz="8" w:space="0" w:color="000000"/>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155" w:type="dxa"/>
            <w:gridSpan w:val="2"/>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Dividendos e bonificações a receber</w:t>
            </w:r>
          </w:p>
        </w:tc>
        <w:tc>
          <w:tcPr>
            <w:tcW w:w="570" w:type="dxa"/>
            <w:gridSpan w:val="2"/>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6</w:t>
            </w:r>
          </w:p>
        </w:tc>
        <w:tc>
          <w:tcPr>
            <w:tcW w:w="1035" w:type="dxa"/>
            <w:gridSpan w:val="2"/>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665" w:type="dxa"/>
            <w:gridSpan w:val="2"/>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4.015</w:t>
            </w:r>
          </w:p>
        </w:tc>
        <w:tc>
          <w:tcPr>
            <w:tcW w:w="1155" w:type="dxa"/>
            <w:gridSpan w:val="2"/>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4.015</w:t>
            </w:r>
          </w:p>
        </w:tc>
        <w:tc>
          <w:tcPr>
            <w:tcW w:w="1140" w:type="dxa"/>
            <w:gridSpan w:val="2"/>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3.710</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155" w:type="dxa"/>
            <w:gridSpan w:val="2"/>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 xml:space="preserve">Valores a receber de sociedades ligadas </w:t>
            </w:r>
          </w:p>
        </w:tc>
        <w:tc>
          <w:tcPr>
            <w:tcW w:w="570" w:type="dxa"/>
            <w:gridSpan w:val="2"/>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7</w:t>
            </w:r>
          </w:p>
        </w:tc>
        <w:tc>
          <w:tcPr>
            <w:tcW w:w="1035" w:type="dxa"/>
            <w:gridSpan w:val="2"/>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665" w:type="dxa"/>
            <w:gridSpan w:val="2"/>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64</w:t>
            </w:r>
          </w:p>
        </w:tc>
        <w:tc>
          <w:tcPr>
            <w:tcW w:w="1155" w:type="dxa"/>
            <w:gridSpan w:val="2"/>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64</w:t>
            </w:r>
          </w:p>
        </w:tc>
        <w:tc>
          <w:tcPr>
            <w:tcW w:w="1140" w:type="dxa"/>
            <w:gridSpan w:val="2"/>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155" w:type="dxa"/>
            <w:gridSpan w:val="2"/>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Passivos</w:t>
            </w:r>
          </w:p>
        </w:tc>
        <w:tc>
          <w:tcPr>
            <w:tcW w:w="570" w:type="dxa"/>
            <w:gridSpan w:val="2"/>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035" w:type="dxa"/>
            <w:gridSpan w:val="2"/>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65" w:type="dxa"/>
            <w:gridSpan w:val="2"/>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55" w:type="dxa"/>
            <w:gridSpan w:val="2"/>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40" w:type="dxa"/>
            <w:gridSpan w:val="2"/>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155" w:type="dxa"/>
            <w:gridSpan w:val="2"/>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Dividendos a pagar</w:t>
            </w:r>
          </w:p>
        </w:tc>
        <w:tc>
          <w:tcPr>
            <w:tcW w:w="570" w:type="dxa"/>
            <w:gridSpan w:val="2"/>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11.a</w:t>
            </w:r>
          </w:p>
        </w:tc>
        <w:tc>
          <w:tcPr>
            <w:tcW w:w="1035" w:type="dxa"/>
            <w:gridSpan w:val="2"/>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665" w:type="dxa"/>
            <w:gridSpan w:val="2"/>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199.565</w:t>
            </w:r>
          </w:p>
        </w:tc>
        <w:tc>
          <w:tcPr>
            <w:tcW w:w="1155" w:type="dxa"/>
            <w:gridSpan w:val="2"/>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199.565</w:t>
            </w:r>
          </w:p>
        </w:tc>
        <w:tc>
          <w:tcPr>
            <w:tcW w:w="1140" w:type="dxa"/>
            <w:gridSpan w:val="2"/>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126.975</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155" w:type="dxa"/>
            <w:gridSpan w:val="2"/>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Valores a pagar a sociedades ligadas</w:t>
            </w:r>
            <w:r>
              <w:rPr>
                <w:rFonts w:eastAsia="Arial" w:cs="Arial"/>
                <w:color w:val="000000"/>
                <w:sz w:val="16"/>
                <w:szCs w:val="22"/>
                <w:bdr w:val="nil"/>
                <w:vertAlign w:val="superscript"/>
                <w:lang w:eastAsia="en-US"/>
              </w:rPr>
              <w:t xml:space="preserve"> (1)</w:t>
            </w:r>
          </w:p>
        </w:tc>
        <w:tc>
          <w:tcPr>
            <w:tcW w:w="570" w:type="dxa"/>
            <w:gridSpan w:val="2"/>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11.c</w:t>
            </w:r>
          </w:p>
        </w:tc>
        <w:tc>
          <w:tcPr>
            <w:tcW w:w="1035" w:type="dxa"/>
            <w:gridSpan w:val="2"/>
            <w:tcBorders>
              <w:top w:val="nil"/>
              <w:left w:val="nil"/>
              <w:bottom w:val="single" w:sz="8" w:space="0" w:color="000000"/>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1.075</w:t>
            </w:r>
          </w:p>
        </w:tc>
        <w:tc>
          <w:tcPr>
            <w:tcW w:w="1665" w:type="dxa"/>
            <w:gridSpan w:val="2"/>
            <w:tcBorders>
              <w:top w:val="nil"/>
              <w:left w:val="nil"/>
              <w:bottom w:val="single" w:sz="8" w:space="0" w:color="000000"/>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155" w:type="dxa"/>
            <w:gridSpan w:val="2"/>
            <w:tcBorders>
              <w:top w:val="nil"/>
              <w:left w:val="nil"/>
              <w:bottom w:val="single" w:sz="8" w:space="0" w:color="000000"/>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1.075</w:t>
            </w:r>
          </w:p>
        </w:tc>
        <w:tc>
          <w:tcPr>
            <w:tcW w:w="1140" w:type="dxa"/>
            <w:gridSpan w:val="2"/>
            <w:tcBorders>
              <w:top w:val="nil"/>
              <w:left w:val="nil"/>
              <w:bottom w:val="single" w:sz="8" w:space="0" w:color="000000"/>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633</w:t>
            </w:r>
          </w:p>
        </w:tc>
      </w:tr>
      <w:tr w:rsidR="00566CE2">
        <w:trPr>
          <w:gridAfter w:val="1"/>
          <w:wAfter w:w="75" w:type="dxa"/>
          <w:cantSplit/>
          <w:trHeight w:val="315"/>
        </w:trPr>
        <w:tc>
          <w:tcPr>
            <w:tcW w:w="3885" w:type="dxa"/>
            <w:tcBorders>
              <w:top w:val="single" w:sz="8" w:space="0" w:color="000000"/>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p>
        </w:tc>
        <w:tc>
          <w:tcPr>
            <w:tcW w:w="555" w:type="dxa"/>
            <w:gridSpan w:val="2"/>
            <w:tcBorders>
              <w:top w:val="single" w:sz="8" w:space="0" w:color="000000"/>
              <w:left w:val="nil"/>
              <w:bottom w:val="nil"/>
              <w:right w:val="nil"/>
              <w:tl2br w:val="nil"/>
              <w:tr2bl w:val="nil"/>
            </w:tcBorders>
            <w:shd w:val="clear" w:color="auto" w:fill="auto"/>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3855" w:type="dxa"/>
            <w:gridSpan w:val="6"/>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c>
          <w:tcPr>
            <w:tcW w:w="135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5" w:type="dxa"/>
          <w:cantSplit/>
          <w:trHeight w:val="555"/>
        </w:trPr>
        <w:tc>
          <w:tcPr>
            <w:tcW w:w="3885"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p>
        </w:tc>
        <w:tc>
          <w:tcPr>
            <w:tcW w:w="555" w:type="dxa"/>
            <w:gridSpan w:val="2"/>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Nota</w:t>
            </w:r>
          </w:p>
        </w:tc>
        <w:tc>
          <w:tcPr>
            <w:tcW w:w="105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Banco do      Brasil S.A.</w:t>
            </w:r>
          </w:p>
        </w:tc>
        <w:tc>
          <w:tcPr>
            <w:tcW w:w="1665"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Pr>
                <w:rFonts w:eastAsia="Arial" w:cs="Arial"/>
                <w:b/>
                <w:color w:val="000000"/>
                <w:sz w:val="16"/>
                <w:szCs w:val="22"/>
                <w:bdr w:val="nil"/>
                <w:lang w:eastAsia="en-US"/>
              </w:rPr>
              <w:t xml:space="preserve">Outras Partes Relacionadas </w:t>
            </w:r>
            <w:r>
              <w:rPr>
                <w:rFonts w:eastAsia="Arial" w:cs="Arial"/>
                <w:b/>
                <w:color w:val="000000"/>
                <w:sz w:val="16"/>
                <w:szCs w:val="22"/>
                <w:bdr w:val="nil"/>
                <w:vertAlign w:val="superscript"/>
                <w:lang w:eastAsia="en-US"/>
              </w:rPr>
              <w:t>(3)</w:t>
            </w:r>
          </w:p>
        </w:tc>
        <w:tc>
          <w:tcPr>
            <w:tcW w:w="114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35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Total</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5" w:type="dxa"/>
          <w:cantSplit/>
          <w:trHeight w:val="225"/>
        </w:trPr>
        <w:tc>
          <w:tcPr>
            <w:tcW w:w="3885"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Receitas</w:t>
            </w:r>
          </w:p>
        </w:tc>
        <w:tc>
          <w:tcPr>
            <w:tcW w:w="555" w:type="dxa"/>
            <w:gridSpan w:val="2"/>
            <w:tcBorders>
              <w:top w:val="single" w:sz="8" w:space="0" w:color="000000"/>
              <w:left w:val="nil"/>
              <w:bottom w:val="nil"/>
              <w:right w:val="nil"/>
              <w:tl2br w:val="nil"/>
              <w:tr2bl w:val="nil"/>
            </w:tcBorders>
            <w:shd w:val="clear" w:color="auto" w:fill="auto"/>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050" w:type="dxa"/>
            <w:gridSpan w:val="2"/>
            <w:tcBorders>
              <w:top w:val="single" w:sz="8" w:space="0" w:color="000000"/>
              <w:left w:val="nil"/>
              <w:bottom w:val="nil"/>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65" w:type="dxa"/>
            <w:gridSpan w:val="2"/>
            <w:tcBorders>
              <w:top w:val="single" w:sz="8" w:space="0" w:color="000000"/>
              <w:left w:val="nil"/>
              <w:bottom w:val="nil"/>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140" w:type="dxa"/>
            <w:gridSpan w:val="2"/>
            <w:tcBorders>
              <w:top w:val="single" w:sz="8" w:space="0" w:color="000000"/>
              <w:left w:val="nil"/>
              <w:bottom w:val="nil"/>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50" w:type="dxa"/>
            <w:gridSpan w:val="2"/>
            <w:tcBorders>
              <w:top w:val="single" w:sz="8" w:space="0" w:color="000000"/>
              <w:left w:val="nil"/>
              <w:bottom w:val="nil"/>
              <w:right w:val="nil"/>
              <w:tl2br w:val="nil"/>
              <w:tr2bl w:val="nil"/>
            </w:tcBorders>
            <w:shd w:val="clear" w:color="auto" w:fill="auto"/>
            <w:noWrap/>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5" w:type="dxa"/>
          <w:cantSplit/>
          <w:trHeight w:val="225"/>
        </w:trPr>
        <w:tc>
          <w:tcPr>
            <w:tcW w:w="3885" w:type="dxa"/>
            <w:tcBorders>
              <w:top w:val="nil"/>
              <w:left w:val="nil"/>
              <w:bottom w:val="nil"/>
              <w:right w:val="nil"/>
              <w:tl2br w:val="nil"/>
              <w:tr2bl w:val="nil"/>
            </w:tcBorders>
            <w:shd w:val="clear" w:color="auto" w:fill="auto"/>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Ressarcimento de custos</w:t>
            </w:r>
          </w:p>
        </w:tc>
        <w:tc>
          <w:tcPr>
            <w:tcW w:w="555" w:type="dxa"/>
            <w:gridSpan w:val="2"/>
            <w:tcBorders>
              <w:top w:val="nil"/>
              <w:left w:val="nil"/>
              <w:bottom w:val="nil"/>
              <w:right w:val="nil"/>
              <w:tl2br w:val="nil"/>
              <w:tr2bl w:val="nil"/>
            </w:tcBorders>
            <w:shd w:val="clear" w:color="auto" w:fill="auto"/>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 xml:space="preserve">13.c </w:t>
            </w:r>
          </w:p>
        </w:tc>
        <w:tc>
          <w:tcPr>
            <w:tcW w:w="1050" w:type="dxa"/>
            <w:gridSpan w:val="2"/>
            <w:tcBorders>
              <w:top w:val="nil"/>
              <w:left w:val="nil"/>
              <w:bottom w:val="nil"/>
              <w:right w:val="nil"/>
              <w:tl2br w:val="nil"/>
              <w:tr2bl w:val="nil"/>
            </w:tcBorders>
            <w:shd w:val="clear" w:color="auto" w:fill="auto"/>
            <w:tcMar>
              <w:left w:w="40" w:type="dxa"/>
              <w:right w:w="100" w:type="dxa"/>
            </w:tcMar>
            <w:vAlign w:val="bottom"/>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665" w:type="dxa"/>
            <w:gridSpan w:val="2"/>
            <w:tcBorders>
              <w:top w:val="nil"/>
              <w:left w:val="nil"/>
              <w:bottom w:val="nil"/>
              <w:right w:val="nil"/>
              <w:tl2br w:val="nil"/>
              <w:tr2bl w:val="nil"/>
            </w:tcBorders>
            <w:shd w:val="clear" w:color="auto" w:fill="auto"/>
            <w:tcMar>
              <w:left w:w="40" w:type="dxa"/>
              <w:right w:w="100" w:type="dxa"/>
            </w:tcMar>
            <w:vAlign w:val="bottom"/>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894</w:t>
            </w:r>
          </w:p>
        </w:tc>
        <w:tc>
          <w:tcPr>
            <w:tcW w:w="1140" w:type="dxa"/>
            <w:gridSpan w:val="2"/>
            <w:tcBorders>
              <w:top w:val="nil"/>
              <w:left w:val="nil"/>
              <w:bottom w:val="nil"/>
              <w:right w:val="nil"/>
              <w:tl2br w:val="nil"/>
              <w:tr2bl w:val="nil"/>
            </w:tcBorders>
            <w:shd w:val="clear" w:color="auto" w:fill="auto"/>
            <w:tcMar>
              <w:left w:w="40" w:type="dxa"/>
              <w:right w:w="100" w:type="dxa"/>
            </w:tcMar>
            <w:vAlign w:val="bottom"/>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894</w:t>
            </w:r>
          </w:p>
        </w:tc>
        <w:tc>
          <w:tcPr>
            <w:tcW w:w="1350" w:type="dxa"/>
            <w:gridSpan w:val="2"/>
            <w:tcBorders>
              <w:top w:val="nil"/>
              <w:left w:val="nil"/>
              <w:bottom w:val="nil"/>
              <w:right w:val="nil"/>
              <w:tl2br w:val="nil"/>
              <w:tr2bl w:val="nil"/>
            </w:tcBorders>
            <w:shd w:val="clear" w:color="auto" w:fill="auto"/>
            <w:tcMar>
              <w:left w:w="40" w:type="dxa"/>
              <w:right w:w="100" w:type="dxa"/>
            </w:tcMar>
            <w:vAlign w:val="bottom"/>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5" w:type="dxa"/>
          <w:cantSplit/>
          <w:trHeight w:val="225"/>
        </w:trPr>
        <w:tc>
          <w:tcPr>
            <w:tcW w:w="3885" w:type="dxa"/>
            <w:tcBorders>
              <w:top w:val="nil"/>
              <w:left w:val="nil"/>
              <w:bottom w:val="nil"/>
              <w:right w:val="nil"/>
              <w:tl2br w:val="nil"/>
              <w:tr2bl w:val="nil"/>
            </w:tcBorders>
            <w:shd w:val="clear" w:color="auto" w:fill="auto"/>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Variação monetária ativa</w:t>
            </w:r>
            <w:r>
              <w:rPr>
                <w:rFonts w:eastAsia="Arial" w:cs="Arial"/>
                <w:color w:val="000000"/>
                <w:sz w:val="16"/>
                <w:szCs w:val="22"/>
                <w:bdr w:val="nil"/>
                <w:vertAlign w:val="superscript"/>
                <w:lang w:eastAsia="en-US"/>
              </w:rPr>
              <w:t xml:space="preserve"> (2)</w:t>
            </w:r>
          </w:p>
        </w:tc>
        <w:tc>
          <w:tcPr>
            <w:tcW w:w="555" w:type="dxa"/>
            <w:gridSpan w:val="2"/>
            <w:tcBorders>
              <w:top w:val="nil"/>
              <w:left w:val="nil"/>
              <w:bottom w:val="nil"/>
              <w:right w:val="nil"/>
              <w:tl2br w:val="nil"/>
              <w:tr2bl w:val="nil"/>
            </w:tcBorders>
            <w:shd w:val="clear" w:color="auto" w:fill="auto"/>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050" w:type="dxa"/>
            <w:gridSpan w:val="2"/>
            <w:tcBorders>
              <w:top w:val="nil"/>
              <w:left w:val="nil"/>
              <w:bottom w:val="nil"/>
              <w:right w:val="nil"/>
              <w:tl2br w:val="nil"/>
              <w:tr2bl w:val="nil"/>
            </w:tcBorders>
            <w:shd w:val="clear" w:color="auto" w:fill="auto"/>
            <w:tcMar>
              <w:left w:w="40" w:type="dxa"/>
              <w:right w:w="100" w:type="dxa"/>
            </w:tcMar>
            <w:vAlign w:val="bottom"/>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665" w:type="dxa"/>
            <w:gridSpan w:val="2"/>
            <w:tcBorders>
              <w:top w:val="nil"/>
              <w:left w:val="nil"/>
              <w:bottom w:val="nil"/>
              <w:right w:val="nil"/>
              <w:tl2br w:val="nil"/>
              <w:tr2bl w:val="nil"/>
            </w:tcBorders>
            <w:shd w:val="clear" w:color="auto" w:fill="auto"/>
            <w:tcMar>
              <w:left w:w="40" w:type="dxa"/>
              <w:right w:w="100" w:type="dxa"/>
            </w:tcMar>
            <w:vAlign w:val="bottom"/>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90</w:t>
            </w:r>
          </w:p>
        </w:tc>
        <w:tc>
          <w:tcPr>
            <w:tcW w:w="1140" w:type="dxa"/>
            <w:gridSpan w:val="2"/>
            <w:tcBorders>
              <w:top w:val="nil"/>
              <w:left w:val="nil"/>
              <w:bottom w:val="nil"/>
              <w:right w:val="nil"/>
              <w:tl2br w:val="nil"/>
              <w:tr2bl w:val="nil"/>
            </w:tcBorders>
            <w:shd w:val="clear" w:color="auto" w:fill="auto"/>
            <w:tcMar>
              <w:left w:w="40" w:type="dxa"/>
              <w:right w:w="100" w:type="dxa"/>
            </w:tcMar>
            <w:vAlign w:val="bottom"/>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90</w:t>
            </w:r>
          </w:p>
        </w:tc>
        <w:tc>
          <w:tcPr>
            <w:tcW w:w="1350" w:type="dxa"/>
            <w:gridSpan w:val="2"/>
            <w:tcBorders>
              <w:top w:val="nil"/>
              <w:left w:val="nil"/>
              <w:bottom w:val="nil"/>
              <w:right w:val="nil"/>
              <w:tl2br w:val="nil"/>
              <w:tr2bl w:val="nil"/>
            </w:tcBorders>
            <w:shd w:val="clear" w:color="auto" w:fill="auto"/>
            <w:tcMar>
              <w:left w:w="40" w:type="dxa"/>
              <w:right w:w="100" w:type="dxa"/>
            </w:tcMar>
            <w:vAlign w:val="bottom"/>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5" w:type="dxa"/>
          <w:cantSplit/>
          <w:trHeight w:val="225"/>
        </w:trPr>
        <w:tc>
          <w:tcPr>
            <w:tcW w:w="3885" w:type="dxa"/>
            <w:tcBorders>
              <w:top w:val="nil"/>
              <w:left w:val="nil"/>
              <w:bottom w:val="nil"/>
              <w:right w:val="nil"/>
              <w:tl2br w:val="nil"/>
              <w:tr2bl w:val="nil"/>
            </w:tcBorders>
            <w:shd w:val="clear" w:color="auto" w:fill="auto"/>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Pr>
                <w:rFonts w:eastAsia="Arial" w:cs="Arial"/>
                <w:b/>
                <w:color w:val="000000"/>
                <w:sz w:val="16"/>
                <w:szCs w:val="22"/>
                <w:bdr w:val="nil"/>
                <w:lang w:eastAsia="en-US"/>
              </w:rPr>
              <w:t>Despesas</w:t>
            </w:r>
          </w:p>
        </w:tc>
        <w:tc>
          <w:tcPr>
            <w:tcW w:w="555" w:type="dxa"/>
            <w:gridSpan w:val="2"/>
            <w:tcBorders>
              <w:top w:val="nil"/>
              <w:left w:val="nil"/>
              <w:bottom w:val="nil"/>
              <w:right w:val="nil"/>
              <w:tl2br w:val="nil"/>
              <w:tr2bl w:val="nil"/>
            </w:tcBorders>
            <w:shd w:val="clear" w:color="auto" w:fill="auto"/>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050" w:type="dxa"/>
            <w:gridSpan w:val="2"/>
            <w:tcBorders>
              <w:top w:val="nil"/>
              <w:left w:val="nil"/>
              <w:bottom w:val="nil"/>
              <w:right w:val="nil"/>
              <w:tl2br w:val="nil"/>
              <w:tr2bl w:val="nil"/>
            </w:tcBorders>
            <w:shd w:val="clear" w:color="auto" w:fill="auto"/>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65" w:type="dxa"/>
            <w:gridSpan w:val="2"/>
            <w:tcBorders>
              <w:top w:val="nil"/>
              <w:left w:val="nil"/>
              <w:bottom w:val="nil"/>
              <w:right w:val="nil"/>
              <w:tl2br w:val="nil"/>
              <w:tr2bl w:val="nil"/>
            </w:tcBorders>
            <w:shd w:val="clear" w:color="auto" w:fill="auto"/>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40" w:type="dxa"/>
            <w:gridSpan w:val="2"/>
            <w:tcBorders>
              <w:top w:val="nil"/>
              <w:left w:val="nil"/>
              <w:bottom w:val="nil"/>
              <w:right w:val="nil"/>
              <w:tl2br w:val="nil"/>
              <w:tr2bl w:val="nil"/>
            </w:tcBorders>
            <w:shd w:val="clear" w:color="auto" w:fill="auto"/>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50" w:type="dxa"/>
            <w:gridSpan w:val="2"/>
            <w:tcBorders>
              <w:top w:val="nil"/>
              <w:left w:val="nil"/>
              <w:bottom w:val="nil"/>
              <w:right w:val="nil"/>
              <w:tl2br w:val="nil"/>
              <w:tr2bl w:val="nil"/>
            </w:tcBorders>
            <w:shd w:val="clear" w:color="auto" w:fill="auto"/>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5" w:type="dxa"/>
          <w:cantSplit/>
          <w:trHeight w:val="225"/>
        </w:trPr>
        <w:tc>
          <w:tcPr>
            <w:tcW w:w="3885" w:type="dxa"/>
            <w:tcBorders>
              <w:top w:val="nil"/>
              <w:left w:val="nil"/>
              <w:bottom w:val="nil"/>
              <w:right w:val="nil"/>
              <w:tl2br w:val="nil"/>
              <w:tr2bl w:val="nil"/>
            </w:tcBorders>
            <w:shd w:val="clear" w:color="auto" w:fill="auto"/>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Despesas de pessoal</w:t>
            </w:r>
          </w:p>
        </w:tc>
        <w:tc>
          <w:tcPr>
            <w:tcW w:w="555" w:type="dxa"/>
            <w:gridSpan w:val="2"/>
            <w:tcBorders>
              <w:top w:val="nil"/>
              <w:left w:val="nil"/>
              <w:bottom w:val="nil"/>
              <w:right w:val="nil"/>
              <w:tl2br w:val="nil"/>
              <w:tr2bl w:val="nil"/>
            </w:tcBorders>
            <w:shd w:val="clear" w:color="auto" w:fill="auto"/>
            <w:tcMar>
              <w:left w:w="0" w:type="dxa"/>
              <w:right w:w="0" w:type="dxa"/>
            </w:tcMar>
            <w:vAlign w:val="bottom"/>
          </w:tcPr>
          <w:p w:rsidR="00566CE2" w:rsidRDefault="00566CE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050" w:type="dxa"/>
            <w:gridSpan w:val="2"/>
            <w:tcBorders>
              <w:top w:val="nil"/>
              <w:left w:val="nil"/>
              <w:bottom w:val="nil"/>
              <w:right w:val="nil"/>
              <w:tl2br w:val="nil"/>
              <w:tr2bl w:val="nil"/>
            </w:tcBorders>
            <w:shd w:val="clear" w:color="auto" w:fill="auto"/>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(4.066)</w:t>
            </w:r>
          </w:p>
        </w:tc>
        <w:tc>
          <w:tcPr>
            <w:tcW w:w="1665" w:type="dxa"/>
            <w:gridSpan w:val="2"/>
            <w:tcBorders>
              <w:top w:val="nil"/>
              <w:left w:val="nil"/>
              <w:bottom w:val="nil"/>
              <w:right w:val="nil"/>
              <w:tl2br w:val="nil"/>
              <w:tr2bl w:val="nil"/>
            </w:tcBorders>
            <w:shd w:val="clear" w:color="auto" w:fill="auto"/>
            <w:tcMar>
              <w:left w:w="40" w:type="dxa"/>
              <w:right w:w="100" w:type="dxa"/>
            </w:tcMar>
            <w:vAlign w:val="bottom"/>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140" w:type="dxa"/>
            <w:gridSpan w:val="2"/>
            <w:tcBorders>
              <w:top w:val="nil"/>
              <w:left w:val="nil"/>
              <w:bottom w:val="nil"/>
              <w:right w:val="nil"/>
              <w:tl2br w:val="nil"/>
              <w:tr2bl w:val="nil"/>
            </w:tcBorders>
            <w:shd w:val="clear" w:color="auto" w:fill="auto"/>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(4.066)</w:t>
            </w:r>
          </w:p>
        </w:tc>
        <w:tc>
          <w:tcPr>
            <w:tcW w:w="1350" w:type="dxa"/>
            <w:gridSpan w:val="2"/>
            <w:tcBorders>
              <w:top w:val="nil"/>
              <w:left w:val="nil"/>
              <w:bottom w:val="nil"/>
              <w:right w:val="nil"/>
              <w:tl2br w:val="nil"/>
              <w:tr2bl w:val="nil"/>
            </w:tcBorders>
            <w:shd w:val="clear" w:color="auto" w:fill="auto"/>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(4.347)</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5" w:type="dxa"/>
          <w:cantSplit/>
          <w:trHeight w:val="225"/>
        </w:trPr>
        <w:tc>
          <w:tcPr>
            <w:tcW w:w="3885" w:type="dxa"/>
            <w:tcBorders>
              <w:top w:val="nil"/>
              <w:left w:val="nil"/>
              <w:bottom w:val="nil"/>
              <w:right w:val="nil"/>
              <w:tl2br w:val="nil"/>
              <w:tr2bl w:val="nil"/>
            </w:tcBorders>
            <w:shd w:val="clear" w:color="auto" w:fill="auto"/>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 xml:space="preserve">Custos de suporte Direção Geral BB </w:t>
            </w:r>
          </w:p>
        </w:tc>
        <w:tc>
          <w:tcPr>
            <w:tcW w:w="555" w:type="dxa"/>
            <w:gridSpan w:val="2"/>
            <w:tcBorders>
              <w:top w:val="nil"/>
              <w:left w:val="nil"/>
              <w:bottom w:val="nil"/>
              <w:right w:val="nil"/>
              <w:tl2br w:val="nil"/>
              <w:tr2bl w:val="nil"/>
            </w:tcBorders>
            <w:shd w:val="clear" w:color="auto" w:fill="auto"/>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13.b</w:t>
            </w:r>
          </w:p>
        </w:tc>
        <w:tc>
          <w:tcPr>
            <w:tcW w:w="1050" w:type="dxa"/>
            <w:gridSpan w:val="2"/>
            <w:tcBorders>
              <w:top w:val="nil"/>
              <w:left w:val="nil"/>
              <w:bottom w:val="nil"/>
              <w:right w:val="nil"/>
              <w:tl2br w:val="nil"/>
              <w:tr2bl w:val="nil"/>
            </w:tcBorders>
            <w:shd w:val="clear" w:color="auto" w:fill="auto"/>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(242)</w:t>
            </w:r>
          </w:p>
        </w:tc>
        <w:tc>
          <w:tcPr>
            <w:tcW w:w="1665" w:type="dxa"/>
            <w:gridSpan w:val="2"/>
            <w:tcBorders>
              <w:top w:val="nil"/>
              <w:left w:val="nil"/>
              <w:bottom w:val="nil"/>
              <w:right w:val="nil"/>
              <w:tl2br w:val="nil"/>
              <w:tr2bl w:val="nil"/>
            </w:tcBorders>
            <w:shd w:val="clear" w:color="auto" w:fill="auto"/>
            <w:tcMar>
              <w:left w:w="40" w:type="dxa"/>
              <w:right w:w="100" w:type="dxa"/>
            </w:tcMar>
            <w:vAlign w:val="bottom"/>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140" w:type="dxa"/>
            <w:gridSpan w:val="2"/>
            <w:tcBorders>
              <w:top w:val="nil"/>
              <w:left w:val="nil"/>
              <w:bottom w:val="nil"/>
              <w:right w:val="nil"/>
              <w:tl2br w:val="nil"/>
              <w:tr2bl w:val="nil"/>
            </w:tcBorders>
            <w:shd w:val="clear" w:color="auto" w:fill="auto"/>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(242)</w:t>
            </w:r>
          </w:p>
        </w:tc>
        <w:tc>
          <w:tcPr>
            <w:tcW w:w="1350" w:type="dxa"/>
            <w:gridSpan w:val="2"/>
            <w:tcBorders>
              <w:top w:val="nil"/>
              <w:left w:val="nil"/>
              <w:bottom w:val="nil"/>
              <w:right w:val="nil"/>
              <w:tl2br w:val="nil"/>
              <w:tr2bl w:val="nil"/>
            </w:tcBorders>
            <w:shd w:val="clear" w:color="auto" w:fill="auto"/>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(216)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5" w:type="dxa"/>
          <w:cantSplit/>
          <w:trHeight w:val="225"/>
        </w:trPr>
        <w:tc>
          <w:tcPr>
            <w:tcW w:w="3885" w:type="dxa"/>
            <w:tcBorders>
              <w:top w:val="nil"/>
              <w:left w:val="nil"/>
              <w:bottom w:val="nil"/>
              <w:right w:val="nil"/>
              <w:tl2br w:val="nil"/>
              <w:tr2bl w:val="nil"/>
            </w:tcBorders>
            <w:shd w:val="clear" w:color="auto" w:fill="auto"/>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Custos indiretos Contadoria BB</w:t>
            </w:r>
          </w:p>
        </w:tc>
        <w:tc>
          <w:tcPr>
            <w:tcW w:w="555" w:type="dxa"/>
            <w:gridSpan w:val="2"/>
            <w:tcBorders>
              <w:top w:val="nil"/>
              <w:left w:val="nil"/>
              <w:bottom w:val="nil"/>
              <w:right w:val="nil"/>
              <w:tl2br w:val="nil"/>
              <w:tr2bl w:val="nil"/>
            </w:tcBorders>
            <w:shd w:val="clear" w:color="auto" w:fill="auto"/>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13.b</w:t>
            </w:r>
          </w:p>
        </w:tc>
        <w:tc>
          <w:tcPr>
            <w:tcW w:w="1050" w:type="dxa"/>
            <w:gridSpan w:val="2"/>
            <w:tcBorders>
              <w:top w:val="nil"/>
              <w:left w:val="nil"/>
              <w:bottom w:val="nil"/>
              <w:right w:val="nil"/>
              <w:tl2br w:val="nil"/>
              <w:tr2bl w:val="nil"/>
            </w:tcBorders>
            <w:shd w:val="clear" w:color="auto" w:fill="auto"/>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(332)</w:t>
            </w:r>
          </w:p>
        </w:tc>
        <w:tc>
          <w:tcPr>
            <w:tcW w:w="1665" w:type="dxa"/>
            <w:gridSpan w:val="2"/>
            <w:tcBorders>
              <w:top w:val="nil"/>
              <w:left w:val="nil"/>
              <w:bottom w:val="nil"/>
              <w:right w:val="nil"/>
              <w:tl2br w:val="nil"/>
              <w:tr2bl w:val="nil"/>
            </w:tcBorders>
            <w:shd w:val="clear" w:color="auto" w:fill="auto"/>
            <w:tcMar>
              <w:left w:w="40" w:type="dxa"/>
              <w:right w:w="100" w:type="dxa"/>
            </w:tcMar>
            <w:vAlign w:val="bottom"/>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140" w:type="dxa"/>
            <w:gridSpan w:val="2"/>
            <w:tcBorders>
              <w:top w:val="nil"/>
              <w:left w:val="nil"/>
              <w:bottom w:val="nil"/>
              <w:right w:val="nil"/>
              <w:tl2br w:val="nil"/>
              <w:tr2bl w:val="nil"/>
            </w:tcBorders>
            <w:shd w:val="clear" w:color="auto" w:fill="auto"/>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(332)</w:t>
            </w:r>
          </w:p>
        </w:tc>
        <w:tc>
          <w:tcPr>
            <w:tcW w:w="1350" w:type="dxa"/>
            <w:gridSpan w:val="2"/>
            <w:tcBorders>
              <w:top w:val="nil"/>
              <w:left w:val="nil"/>
              <w:bottom w:val="nil"/>
              <w:right w:val="nil"/>
              <w:tl2br w:val="nil"/>
              <w:tr2bl w:val="nil"/>
            </w:tcBorders>
            <w:shd w:val="clear" w:color="auto" w:fill="auto"/>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5" w:type="dxa"/>
          <w:cantSplit/>
          <w:trHeight w:val="420"/>
        </w:trPr>
        <w:tc>
          <w:tcPr>
            <w:tcW w:w="3885" w:type="dxa"/>
            <w:tcBorders>
              <w:top w:val="nil"/>
              <w:left w:val="nil"/>
              <w:bottom w:val="nil"/>
              <w:right w:val="nil"/>
              <w:tl2br w:val="nil"/>
              <w:tr2bl w:val="nil"/>
            </w:tcBorders>
            <w:shd w:val="clear" w:color="auto" w:fill="auto"/>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Atualização monetária sobre obrigações sociais e estatutárias</w:t>
            </w:r>
            <w:r>
              <w:rPr>
                <w:rFonts w:eastAsia="Arial" w:cs="Arial"/>
                <w:color w:val="000000"/>
                <w:sz w:val="16"/>
                <w:szCs w:val="22"/>
                <w:bdr w:val="nil"/>
                <w:vertAlign w:val="superscript"/>
                <w:lang w:eastAsia="en-US"/>
              </w:rPr>
              <w:t>(2)</w:t>
            </w:r>
          </w:p>
        </w:tc>
        <w:tc>
          <w:tcPr>
            <w:tcW w:w="555" w:type="dxa"/>
            <w:gridSpan w:val="2"/>
            <w:tcBorders>
              <w:top w:val="nil"/>
              <w:left w:val="nil"/>
              <w:bottom w:val="nil"/>
              <w:right w:val="nil"/>
              <w:tl2br w:val="nil"/>
              <w:tr2bl w:val="nil"/>
            </w:tcBorders>
            <w:shd w:val="clear" w:color="auto" w:fill="auto"/>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14.b</w:t>
            </w:r>
          </w:p>
        </w:tc>
        <w:tc>
          <w:tcPr>
            <w:tcW w:w="1050" w:type="dxa"/>
            <w:gridSpan w:val="2"/>
            <w:tcBorders>
              <w:top w:val="nil"/>
              <w:left w:val="nil"/>
              <w:bottom w:val="nil"/>
              <w:right w:val="nil"/>
              <w:tl2br w:val="nil"/>
              <w:tr2bl w:val="nil"/>
            </w:tcBorders>
            <w:shd w:val="clear" w:color="auto" w:fill="auto"/>
            <w:tcMar>
              <w:left w:w="40" w:type="dxa"/>
              <w:right w:w="100" w:type="dxa"/>
            </w:tcMar>
            <w:vAlign w:val="bottom"/>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665" w:type="dxa"/>
            <w:gridSpan w:val="2"/>
            <w:tcBorders>
              <w:top w:val="nil"/>
              <w:left w:val="nil"/>
              <w:bottom w:val="nil"/>
              <w:right w:val="nil"/>
              <w:tl2br w:val="nil"/>
              <w:tr2bl w:val="nil"/>
            </w:tcBorders>
            <w:shd w:val="clear" w:color="auto" w:fill="auto"/>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(2.525)</w:t>
            </w:r>
          </w:p>
        </w:tc>
        <w:tc>
          <w:tcPr>
            <w:tcW w:w="1140" w:type="dxa"/>
            <w:gridSpan w:val="2"/>
            <w:tcBorders>
              <w:top w:val="nil"/>
              <w:left w:val="nil"/>
              <w:bottom w:val="nil"/>
              <w:right w:val="nil"/>
              <w:tl2br w:val="nil"/>
              <w:tr2bl w:val="nil"/>
            </w:tcBorders>
            <w:shd w:val="clear" w:color="auto" w:fill="auto"/>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(2.525)</w:t>
            </w:r>
          </w:p>
        </w:tc>
        <w:tc>
          <w:tcPr>
            <w:tcW w:w="1350" w:type="dxa"/>
            <w:gridSpan w:val="2"/>
            <w:tcBorders>
              <w:top w:val="nil"/>
              <w:left w:val="nil"/>
              <w:bottom w:val="nil"/>
              <w:right w:val="nil"/>
              <w:tl2br w:val="nil"/>
              <w:tr2bl w:val="nil"/>
            </w:tcBorders>
            <w:shd w:val="clear" w:color="auto" w:fill="auto"/>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(4.782)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5" w:type="dxa"/>
          <w:cantSplit/>
          <w:trHeight w:val="225"/>
        </w:trPr>
        <w:tc>
          <w:tcPr>
            <w:tcW w:w="3885" w:type="dxa"/>
            <w:tcBorders>
              <w:top w:val="nil"/>
              <w:left w:val="nil"/>
              <w:bottom w:val="single" w:sz="8" w:space="0" w:color="000000"/>
              <w:right w:val="nil"/>
              <w:tl2br w:val="nil"/>
              <w:tr2bl w:val="nil"/>
            </w:tcBorders>
            <w:shd w:val="clear" w:color="auto" w:fill="auto"/>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Pr>
                <w:rFonts w:eastAsia="Arial" w:cs="Arial"/>
                <w:color w:val="000000"/>
                <w:sz w:val="16"/>
                <w:szCs w:val="22"/>
                <w:bdr w:val="nil"/>
                <w:lang w:eastAsia="en-US"/>
              </w:rPr>
              <w:t>Comissões e despesas bancárias</w:t>
            </w:r>
          </w:p>
        </w:tc>
        <w:tc>
          <w:tcPr>
            <w:tcW w:w="555" w:type="dxa"/>
            <w:gridSpan w:val="2"/>
            <w:tcBorders>
              <w:top w:val="nil"/>
              <w:left w:val="nil"/>
              <w:bottom w:val="single" w:sz="8" w:space="0" w:color="000000"/>
              <w:right w:val="nil"/>
              <w:tl2br w:val="nil"/>
              <w:tr2bl w:val="nil"/>
            </w:tcBorders>
            <w:shd w:val="clear" w:color="auto" w:fill="auto"/>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Pr>
                <w:rFonts w:eastAsia="Arial" w:cs="Arial"/>
                <w:color w:val="000000"/>
                <w:sz w:val="16"/>
                <w:szCs w:val="22"/>
                <w:bdr w:val="nil"/>
                <w:lang w:eastAsia="en-US"/>
              </w:rPr>
              <w:t>14.b</w:t>
            </w:r>
          </w:p>
        </w:tc>
        <w:tc>
          <w:tcPr>
            <w:tcW w:w="1050" w:type="dxa"/>
            <w:gridSpan w:val="2"/>
            <w:tcBorders>
              <w:top w:val="nil"/>
              <w:left w:val="nil"/>
              <w:bottom w:val="single" w:sz="8" w:space="0" w:color="000000"/>
              <w:right w:val="nil"/>
              <w:tl2br w:val="nil"/>
              <w:tr2bl w:val="nil"/>
            </w:tcBorders>
            <w:shd w:val="clear" w:color="auto" w:fill="auto"/>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(7.267)</w:t>
            </w:r>
          </w:p>
        </w:tc>
        <w:tc>
          <w:tcPr>
            <w:tcW w:w="1665" w:type="dxa"/>
            <w:gridSpan w:val="2"/>
            <w:tcBorders>
              <w:top w:val="nil"/>
              <w:left w:val="nil"/>
              <w:bottom w:val="single" w:sz="8" w:space="0" w:color="000000"/>
              <w:right w:val="nil"/>
              <w:tl2br w:val="nil"/>
              <w:tr2bl w:val="nil"/>
            </w:tcBorders>
            <w:shd w:val="clear" w:color="auto" w:fill="auto"/>
            <w:tcMar>
              <w:left w:w="40" w:type="dxa"/>
              <w:right w:w="100" w:type="dxa"/>
            </w:tcMar>
            <w:vAlign w:val="bottom"/>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w:t>
            </w:r>
          </w:p>
        </w:tc>
        <w:tc>
          <w:tcPr>
            <w:tcW w:w="1140" w:type="dxa"/>
            <w:gridSpan w:val="2"/>
            <w:tcBorders>
              <w:top w:val="nil"/>
              <w:left w:val="nil"/>
              <w:bottom w:val="single" w:sz="8" w:space="0" w:color="000000"/>
              <w:right w:val="nil"/>
              <w:tl2br w:val="nil"/>
              <w:tr2bl w:val="nil"/>
            </w:tcBorders>
            <w:shd w:val="clear" w:color="auto" w:fill="auto"/>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(7.267)</w:t>
            </w:r>
          </w:p>
        </w:tc>
        <w:tc>
          <w:tcPr>
            <w:tcW w:w="1350" w:type="dxa"/>
            <w:gridSpan w:val="2"/>
            <w:tcBorders>
              <w:top w:val="nil"/>
              <w:left w:val="nil"/>
              <w:bottom w:val="single" w:sz="8" w:space="0" w:color="000000"/>
              <w:right w:val="nil"/>
              <w:tl2br w:val="nil"/>
              <w:tr2bl w:val="nil"/>
            </w:tcBorders>
            <w:shd w:val="clear" w:color="auto" w:fill="auto"/>
            <w:tcMar>
              <w:left w:w="40" w:type="dxa"/>
              <w:right w:w="40" w:type="dxa"/>
            </w:tcMar>
            <w:vAlign w:val="bottom"/>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(4.718)</w:t>
            </w:r>
          </w:p>
        </w:tc>
      </w:tr>
    </w:tbl>
    <w:p w:rsidR="00362A69" w:rsidRDefault="00A82039" w:rsidP="00626CE5">
      <w:pPr>
        <w:pStyle w:val="07-Legenda"/>
        <w:keepNext/>
        <w:numPr>
          <w:ilvl w:val="0"/>
          <w:numId w:val="17"/>
        </w:numPr>
        <w:pBdr>
          <w:top w:val="nil"/>
          <w:left w:val="nil"/>
          <w:bottom w:val="nil"/>
          <w:right w:val="nil"/>
          <w:between w:val="nil"/>
          <w:bar w:val="nil"/>
        </w:pBdr>
        <w:spacing w:before="0"/>
        <w:ind w:left="284" w:hanging="284"/>
        <w:rPr>
          <w:bdr w:val="nil"/>
        </w:rPr>
      </w:pPr>
      <w:r>
        <w:rPr>
          <w:bdr w:val="nil"/>
        </w:rPr>
        <w:t>Referem-se a valores a pagar ao Banco do Brasil S.A. em decorrência da utilização do mecanismo de compartilhamento dos resultados referentes à cessão de créditos das Carteiras Varejo 3, 4, 16, 17, 31, 49, 54 e MPE 01 e ressarcimento de custos diretos e indiretos.</w:t>
      </w:r>
    </w:p>
    <w:p w:rsidR="00D86272" w:rsidRDefault="00A82039" w:rsidP="00626CE5">
      <w:pPr>
        <w:pStyle w:val="07-Legenda"/>
        <w:keepNext/>
        <w:numPr>
          <w:ilvl w:val="0"/>
          <w:numId w:val="17"/>
        </w:numPr>
        <w:pBdr>
          <w:top w:val="nil"/>
          <w:left w:val="nil"/>
          <w:bottom w:val="nil"/>
          <w:right w:val="nil"/>
          <w:between w:val="nil"/>
          <w:bar w:val="nil"/>
        </w:pBdr>
        <w:spacing w:before="0"/>
        <w:ind w:left="284" w:hanging="284"/>
        <w:rPr>
          <w:bdr w:val="nil"/>
        </w:rPr>
      </w:pPr>
      <w:r>
        <w:rPr>
          <w:bdr w:val="nil"/>
        </w:rPr>
        <w:t>Referem-se à atualização dos dividendos.</w:t>
      </w:r>
    </w:p>
    <w:p w:rsidR="00FC0F30" w:rsidRDefault="00A82039" w:rsidP="001517BC">
      <w:pPr>
        <w:pStyle w:val="07-Legenda"/>
        <w:numPr>
          <w:ilvl w:val="0"/>
          <w:numId w:val="17"/>
        </w:numPr>
        <w:pBdr>
          <w:top w:val="nil"/>
          <w:left w:val="nil"/>
          <w:bottom w:val="nil"/>
          <w:right w:val="nil"/>
          <w:between w:val="nil"/>
          <w:bar w:val="nil"/>
        </w:pBdr>
        <w:spacing w:before="0"/>
        <w:ind w:hanging="720"/>
        <w:rPr>
          <w:bdr w:val="nil"/>
        </w:rPr>
      </w:pPr>
      <w:r>
        <w:rPr>
          <w:bdr w:val="nil"/>
        </w:rPr>
        <w:t xml:space="preserve">BB BI, </w:t>
      </w:r>
      <w:r w:rsidRPr="0049025A">
        <w:rPr>
          <w:i/>
          <w:bdr w:val="nil"/>
        </w:rPr>
        <w:t>BB C</w:t>
      </w:r>
      <w:r>
        <w:rPr>
          <w:i/>
          <w:bdr w:val="nil"/>
        </w:rPr>
        <w:t>I Holding</w:t>
      </w:r>
      <w:r>
        <w:rPr>
          <w:bdr w:val="nil"/>
        </w:rPr>
        <w:t xml:space="preserve"> e Ativos Gestão.</w:t>
      </w:r>
    </w:p>
    <w:p w:rsidR="00362A69" w:rsidRDefault="00362A69" w:rsidP="001517BC">
      <w:pPr>
        <w:pStyle w:val="07-Legenda"/>
        <w:pBdr>
          <w:top w:val="nil"/>
          <w:left w:val="nil"/>
          <w:bottom w:val="nil"/>
          <w:right w:val="nil"/>
          <w:between w:val="nil"/>
          <w:bar w:val="nil"/>
        </w:pBdr>
        <w:rPr>
          <w:bdr w:val="nil"/>
        </w:rPr>
      </w:pPr>
    </w:p>
    <w:p w:rsidR="00362A69" w:rsidRDefault="00A82039" w:rsidP="00C3286C">
      <w:pPr>
        <w:pStyle w:val="01-Textonormal"/>
        <w:pBdr>
          <w:top w:val="nil"/>
          <w:left w:val="nil"/>
          <w:bottom w:val="nil"/>
          <w:right w:val="nil"/>
          <w:between w:val="nil"/>
          <w:bar w:val="nil"/>
        </w:pBdr>
        <w:rPr>
          <w:bdr w:val="nil"/>
        </w:rPr>
      </w:pPr>
      <w:r w:rsidRPr="008C68A1">
        <w:rPr>
          <w:bdr w:val="nil"/>
        </w:rPr>
        <w:t xml:space="preserve">A Ativos S.A. adquiriu do Banco do Brasil S.A. créditos oriundos de operações em prejuízo no montante de R$ </w:t>
      </w:r>
      <w:r>
        <w:rPr>
          <w:bdr w:val="nil"/>
        </w:rPr>
        <w:t>158.799</w:t>
      </w:r>
      <w:r w:rsidRPr="008C68A1">
        <w:rPr>
          <w:bdr w:val="nil"/>
        </w:rPr>
        <w:t xml:space="preserve"> mil</w:t>
      </w:r>
      <w:r>
        <w:rPr>
          <w:bdr w:val="nil"/>
        </w:rPr>
        <w:t xml:space="preserve"> no exercício de 2019 (R$ 275.393 mil no exercício de 2018)</w:t>
      </w:r>
      <w:r w:rsidR="005F34B3">
        <w:rPr>
          <w:bdr w:val="nil"/>
        </w:rPr>
        <w:t xml:space="preserve"> e do Banco Votorantim no montante de R$ 20.064 mil no </w:t>
      </w:r>
      <w:r>
        <w:rPr>
          <w:bdr w:val="nil"/>
        </w:rPr>
        <w:t xml:space="preserve">exercício de </w:t>
      </w:r>
      <w:r w:rsidR="005F34B3">
        <w:rPr>
          <w:bdr w:val="nil"/>
        </w:rPr>
        <w:t xml:space="preserve">2019 (não houve </w:t>
      </w:r>
      <w:r>
        <w:rPr>
          <w:bdr w:val="nil"/>
        </w:rPr>
        <w:t>aquisições para o</w:t>
      </w:r>
      <w:r w:rsidR="005F34B3">
        <w:rPr>
          <w:bdr w:val="nil"/>
        </w:rPr>
        <w:t xml:space="preserve"> </w:t>
      </w:r>
      <w:r>
        <w:rPr>
          <w:bdr w:val="nil"/>
        </w:rPr>
        <w:t xml:space="preserve">exercício de </w:t>
      </w:r>
      <w:r w:rsidR="005F34B3">
        <w:rPr>
          <w:bdr w:val="nil"/>
        </w:rPr>
        <w:t>2018)</w:t>
      </w:r>
      <w:r w:rsidRPr="008C68A1">
        <w:rPr>
          <w:bdr w:val="nil"/>
        </w:rPr>
        <w:t xml:space="preserve">. Essas operações estão registradas em </w:t>
      </w:r>
      <w:r>
        <w:rPr>
          <w:bdr w:val="nil"/>
        </w:rPr>
        <w:t>C</w:t>
      </w:r>
      <w:r w:rsidRPr="008C68A1">
        <w:rPr>
          <w:bdr w:val="nil"/>
        </w:rPr>
        <w:t>réditos Adquiridos (Nota 5.</w:t>
      </w:r>
      <w:r>
        <w:rPr>
          <w:bdr w:val="nil"/>
        </w:rPr>
        <w:t>e</w:t>
      </w:r>
      <w:r w:rsidRPr="008C68A1">
        <w:rPr>
          <w:bdr w:val="nil"/>
        </w:rPr>
        <w:t xml:space="preserve">). </w:t>
      </w:r>
    </w:p>
    <w:p w:rsidR="001517BC" w:rsidRDefault="001517BC" w:rsidP="00C3286C">
      <w:pPr>
        <w:pStyle w:val="01-Textonormal"/>
        <w:pBdr>
          <w:top w:val="nil"/>
          <w:left w:val="nil"/>
          <w:bottom w:val="nil"/>
          <w:right w:val="nil"/>
          <w:between w:val="nil"/>
          <w:bar w:val="nil"/>
        </w:pBdr>
        <w:rPr>
          <w:bdr w:val="nil"/>
        </w:rPr>
      </w:pPr>
    </w:p>
    <w:p w:rsidR="00566CE2" w:rsidRDefault="00566CE2">
      <w:pPr>
        <w:pBdr>
          <w:top w:val="nil"/>
          <w:left w:val="nil"/>
          <w:bottom w:val="nil"/>
          <w:right w:val="nil"/>
          <w:between w:val="nil"/>
          <w:bar w:val="nil"/>
        </w:pBdr>
        <w:spacing w:before="0" w:after="200"/>
        <w:jc w:val="left"/>
        <w:rPr>
          <w:sz w:val="22"/>
          <w:szCs w:val="22"/>
          <w:bdr w:val="nil"/>
          <w:lang w:eastAsia="en-US"/>
        </w:rPr>
      </w:pPr>
    </w:p>
    <w:p w:rsidR="006B31AC" w:rsidRDefault="00A82039" w:rsidP="009B78FC">
      <w:pPr>
        <w:pStyle w:val="02-TtulodeNota"/>
        <w:pBdr>
          <w:top w:val="nil"/>
          <w:left w:val="nil"/>
          <w:bottom w:val="nil"/>
          <w:right w:val="nil"/>
          <w:between w:val="nil"/>
          <w:bar w:val="nil"/>
        </w:pBdr>
        <w:spacing w:after="0" w:line="276" w:lineRule="auto"/>
        <w:rPr>
          <w:rFonts w:cs="Times New Roman"/>
          <w:color w:val="auto"/>
          <w:bdr w:val="nil"/>
        </w:rPr>
      </w:pPr>
      <w:r w:rsidRPr="009B78FC">
        <w:rPr>
          <w:rFonts w:cs="Times New Roman"/>
          <w:szCs w:val="20"/>
          <w:bdr w:val="nil"/>
        </w:rPr>
        <w:t>18</w:t>
      </w:r>
      <w:r>
        <w:rPr>
          <w:rFonts w:cs="Times New Roman"/>
          <w:szCs w:val="20"/>
          <w:bdr w:val="nil"/>
        </w:rPr>
        <w:t xml:space="preserve"> - </w:t>
      </w:r>
      <w:r>
        <w:rPr>
          <w:rFonts w:cs="Times New Roman"/>
          <w:color w:val="auto"/>
          <w:szCs w:val="20"/>
          <w:bdr w:val="nil"/>
        </w:rPr>
        <w:t>Remuneração de empregados e ADMINISTRADORES</w:t>
      </w:r>
    </w:p>
    <w:p w:rsidR="008535CB" w:rsidRDefault="00A82039" w:rsidP="00DE767E">
      <w:pPr>
        <w:pStyle w:val="01-Textonormal"/>
        <w:pBdr>
          <w:top w:val="nil"/>
          <w:left w:val="nil"/>
          <w:bottom w:val="nil"/>
          <w:right w:val="nil"/>
          <w:between w:val="nil"/>
          <w:bar w:val="nil"/>
        </w:pBdr>
        <w:spacing w:after="0"/>
        <w:rPr>
          <w:bdr w:val="nil"/>
        </w:rPr>
      </w:pPr>
      <w:r w:rsidRPr="00B34BDC">
        <w:rPr>
          <w:bdr w:val="nil"/>
        </w:rPr>
        <w:t xml:space="preserve">Em </w:t>
      </w:r>
      <w:r>
        <w:rPr>
          <w:bdr w:val="nil"/>
        </w:rPr>
        <w:t>0</w:t>
      </w:r>
      <w:r w:rsidRPr="00B34BDC">
        <w:rPr>
          <w:bdr w:val="nil"/>
        </w:rPr>
        <w:t>5.04.201</w:t>
      </w:r>
      <w:r>
        <w:rPr>
          <w:bdr w:val="nil"/>
        </w:rPr>
        <w:t>6</w:t>
      </w:r>
      <w:r w:rsidRPr="00B34BDC">
        <w:rPr>
          <w:bdr w:val="nil"/>
        </w:rPr>
        <w:t>, foi celebrado convênio de disponibilidade de empregados do Banco do Brasil S.A. para a Ativos S.A., para o exercício de função estatutária</w:t>
      </w:r>
      <w:r>
        <w:rPr>
          <w:bdr w:val="nil"/>
        </w:rPr>
        <w:t>.</w:t>
      </w:r>
      <w:r w:rsidRPr="006A26C1">
        <w:rPr>
          <w:bdr w:val="nil"/>
        </w:rPr>
        <w:t xml:space="preserve"> A cessão acontece na forma de disponibilidade sem ônus para o Banco. </w:t>
      </w:r>
    </w:p>
    <w:p w:rsidR="00F00A55" w:rsidRDefault="00A82039" w:rsidP="00DE767E">
      <w:pPr>
        <w:pStyle w:val="01-Textonormal"/>
        <w:pBdr>
          <w:top w:val="nil"/>
          <w:left w:val="nil"/>
          <w:bottom w:val="nil"/>
          <w:right w:val="nil"/>
          <w:between w:val="nil"/>
          <w:bar w:val="nil"/>
        </w:pBdr>
        <w:spacing w:after="0"/>
        <w:rPr>
          <w:bdr w:val="nil"/>
        </w:rPr>
      </w:pPr>
      <w:r w:rsidRPr="006A26C1">
        <w:rPr>
          <w:bdr w:val="nil"/>
        </w:rPr>
        <w:t xml:space="preserve">O Banco continuará processando a folha de pagamento desses funcionários mediante ressarcimento mensal pela </w:t>
      </w:r>
      <w:r>
        <w:rPr>
          <w:bdr w:val="nil"/>
        </w:rPr>
        <w:t>Companhia</w:t>
      </w:r>
      <w:r w:rsidRPr="006A26C1">
        <w:rPr>
          <w:bdr w:val="nil"/>
        </w:rPr>
        <w:t xml:space="preserve"> de todos os custos decorrentes. Essa remuneração está inclusa em Despesas de Pessoal, conforme evidenciado na Nota 1</w:t>
      </w:r>
      <w:r>
        <w:rPr>
          <w:bdr w:val="nil"/>
        </w:rPr>
        <w:t>7</w:t>
      </w:r>
      <w:r w:rsidRPr="006A26C1">
        <w:rPr>
          <w:bdr w:val="nil"/>
        </w:rPr>
        <w:t>.</w:t>
      </w:r>
    </w:p>
    <w:p w:rsidR="00F00A55" w:rsidRPr="00420026" w:rsidRDefault="00A82039" w:rsidP="0046051B">
      <w:pPr>
        <w:pStyle w:val="01-Textonormal"/>
        <w:keepNext/>
        <w:keepLines/>
        <w:pBdr>
          <w:top w:val="nil"/>
          <w:left w:val="nil"/>
          <w:bottom w:val="nil"/>
          <w:right w:val="nil"/>
          <w:between w:val="nil"/>
          <w:bar w:val="nil"/>
        </w:pBdr>
        <w:spacing w:after="0"/>
        <w:rPr>
          <w:b/>
          <w:bdr w:val="nil"/>
        </w:rPr>
      </w:pPr>
      <w:r w:rsidRPr="00420026">
        <w:rPr>
          <w:b/>
          <w:bdr w:val="nil"/>
        </w:rPr>
        <w:lastRenderedPageBreak/>
        <w:t>Remuneração mensal paga aos funcionários e à Administração da Ativos S.A.</w:t>
      </w:r>
    </w:p>
    <w:tbl>
      <w:tblPr>
        <w:tblW w:w="9705" w:type="dxa"/>
        <w:tblLayout w:type="fixed"/>
        <w:tblLook w:val="0600" w:firstRow="0" w:lastRow="0" w:firstColumn="0" w:lastColumn="0" w:noHBand="1" w:noVBand="1"/>
        <w:tblCaption w:val="NEREMUNERAÇÃORemu"/>
      </w:tblPr>
      <w:tblGrid>
        <w:gridCol w:w="6405"/>
        <w:gridCol w:w="1650"/>
        <w:gridCol w:w="1650"/>
      </w:tblGrid>
      <w:tr w:rsidR="00566CE2">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31.12.2019</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31.12.2018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Menor salário</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2.162,96</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2.028,06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Maior salário</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9.613,12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9.013,54</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Salário Médio</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4.943,33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4.356,64</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Dirigentes</w:t>
            </w: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Presidente</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43.246,84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43.246,84</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Diretor</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34.598,31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34.598,31</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Conselheiros</w:t>
            </w: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Conselho de Administração</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3.982,38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3.982,38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Conselho Fiscal</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3.982,38</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3.982,38</w:t>
            </w:r>
          </w:p>
        </w:tc>
      </w:tr>
    </w:tbl>
    <w:p w:rsidR="00566CE2" w:rsidRDefault="00566CE2">
      <w:pPr>
        <w:pBdr>
          <w:top w:val="nil"/>
          <w:left w:val="nil"/>
          <w:bottom w:val="nil"/>
          <w:right w:val="nil"/>
          <w:between w:val="nil"/>
          <w:bar w:val="nil"/>
        </w:pBdr>
        <w:spacing w:before="0" w:after="200"/>
        <w:jc w:val="left"/>
        <w:rPr>
          <w:sz w:val="22"/>
          <w:szCs w:val="22"/>
          <w:bdr w:val="nil"/>
          <w:lang w:eastAsia="en-US"/>
        </w:rPr>
      </w:pPr>
    </w:p>
    <w:p w:rsidR="00670CB3" w:rsidRDefault="00A82039" w:rsidP="003C1E95">
      <w:pPr>
        <w:pStyle w:val="02-TtulodeNota"/>
        <w:pBdr>
          <w:top w:val="nil"/>
          <w:left w:val="nil"/>
          <w:bottom w:val="nil"/>
          <w:right w:val="nil"/>
          <w:between w:val="nil"/>
          <w:bar w:val="nil"/>
        </w:pBdr>
        <w:spacing w:after="0" w:line="276" w:lineRule="auto"/>
        <w:rPr>
          <w:color w:val="auto"/>
          <w:bdr w:val="nil"/>
        </w:rPr>
      </w:pPr>
      <w:r w:rsidRPr="003C1E95">
        <w:rPr>
          <w:rFonts w:cs="Times New Roman"/>
          <w:szCs w:val="20"/>
          <w:bdr w:val="nil"/>
        </w:rPr>
        <w:t>19</w:t>
      </w:r>
      <w:r>
        <w:rPr>
          <w:rFonts w:cs="Times New Roman"/>
          <w:szCs w:val="20"/>
          <w:bdr w:val="nil"/>
        </w:rPr>
        <w:t xml:space="preserve"> - </w:t>
      </w:r>
      <w:r w:rsidRPr="00AF5D31">
        <w:rPr>
          <w:rFonts w:cs="Times New Roman"/>
          <w:color w:val="auto"/>
          <w:szCs w:val="20"/>
          <w:bdr w:val="nil"/>
        </w:rPr>
        <w:t>PROVISÕES, ATIVOS E PASSIVOS C</w:t>
      </w:r>
      <w:r>
        <w:rPr>
          <w:rFonts w:cs="Times New Roman"/>
          <w:color w:val="auto"/>
          <w:szCs w:val="20"/>
          <w:bdr w:val="nil"/>
        </w:rPr>
        <w:t>ONTINGENTES E OBRIGAÇÕES LEGAIS</w:t>
      </w:r>
    </w:p>
    <w:p w:rsidR="00A76A43" w:rsidRPr="00A76A43" w:rsidRDefault="00A76A43" w:rsidP="00A76A43">
      <w:pPr>
        <w:pStyle w:val="07-Legenda"/>
        <w:pBdr>
          <w:top w:val="nil"/>
          <w:left w:val="nil"/>
          <w:bottom w:val="nil"/>
          <w:right w:val="nil"/>
          <w:between w:val="nil"/>
          <w:bar w:val="nil"/>
        </w:pBdr>
        <w:spacing w:before="0"/>
        <w:rPr>
          <w:bdr w:val="nil"/>
        </w:rPr>
      </w:pPr>
    </w:p>
    <w:p w:rsidR="00A37D4E" w:rsidRPr="00AE6D00" w:rsidRDefault="00A82039" w:rsidP="00AE6D00">
      <w:pPr>
        <w:pStyle w:val="PargrafodaLista"/>
        <w:numPr>
          <w:ilvl w:val="0"/>
          <w:numId w:val="18"/>
        </w:numPr>
        <w:pBdr>
          <w:top w:val="nil"/>
          <w:left w:val="nil"/>
          <w:bottom w:val="nil"/>
          <w:right w:val="nil"/>
          <w:between w:val="nil"/>
          <w:bar w:val="nil"/>
        </w:pBdr>
        <w:rPr>
          <w:rFonts w:ascii="Arial" w:hAnsi="Arial" w:cs="Arial"/>
          <w:b/>
          <w:sz w:val="18"/>
          <w:szCs w:val="18"/>
          <w:bdr w:val="nil"/>
        </w:rPr>
      </w:pPr>
      <w:r w:rsidRPr="00AE6D00">
        <w:rPr>
          <w:rFonts w:ascii="Arial" w:hAnsi="Arial" w:cs="Arial"/>
          <w:b/>
          <w:sz w:val="18"/>
          <w:szCs w:val="18"/>
          <w:bdr w:val="nil"/>
        </w:rPr>
        <w:t>Ativos Contingentes</w:t>
      </w:r>
    </w:p>
    <w:p w:rsidR="00C1601B" w:rsidRDefault="00A82039" w:rsidP="00A76A43">
      <w:pPr>
        <w:pStyle w:val="01-Textonormal"/>
        <w:pBdr>
          <w:top w:val="nil"/>
          <w:left w:val="nil"/>
          <w:bottom w:val="nil"/>
          <w:right w:val="nil"/>
          <w:between w:val="nil"/>
          <w:bar w:val="nil"/>
        </w:pBdr>
        <w:spacing w:after="0"/>
        <w:rPr>
          <w:bdr w:val="nil"/>
        </w:rPr>
      </w:pPr>
      <w:r w:rsidRPr="00AF5D31">
        <w:rPr>
          <w:bdr w:val="nil"/>
        </w:rPr>
        <w:t xml:space="preserve">Não são reconhecidos ativos contingentes nas demonstrações contábeis, conforme </w:t>
      </w:r>
      <w:r>
        <w:rPr>
          <w:bdr w:val="nil"/>
        </w:rPr>
        <w:t xml:space="preserve">CPC </w:t>
      </w:r>
      <w:r w:rsidRPr="00AF5D31">
        <w:rPr>
          <w:bdr w:val="nil"/>
        </w:rPr>
        <w:t>25</w:t>
      </w:r>
      <w:r>
        <w:rPr>
          <w:bdr w:val="nil"/>
        </w:rPr>
        <w:t xml:space="preserve"> (R2)</w:t>
      </w:r>
      <w:r w:rsidRPr="00AF5D31">
        <w:rPr>
          <w:bdr w:val="nil"/>
        </w:rPr>
        <w:t xml:space="preserve"> – Provisões, Passivos Contingentes e Ativos Contingentes.</w:t>
      </w:r>
    </w:p>
    <w:p w:rsidR="00C1601B" w:rsidRDefault="00C1601B" w:rsidP="006367BF">
      <w:pPr>
        <w:pStyle w:val="07-Legenda"/>
        <w:pBdr>
          <w:top w:val="nil"/>
          <w:left w:val="nil"/>
          <w:bottom w:val="nil"/>
          <w:right w:val="nil"/>
          <w:between w:val="nil"/>
          <w:bar w:val="nil"/>
        </w:pBdr>
        <w:spacing w:before="0"/>
        <w:rPr>
          <w:bdr w:val="nil"/>
        </w:rPr>
      </w:pPr>
    </w:p>
    <w:p w:rsidR="00E551F7" w:rsidRPr="00AE6D00" w:rsidRDefault="00A82039" w:rsidP="00AE6D00">
      <w:pPr>
        <w:pStyle w:val="PargrafodaLista"/>
        <w:numPr>
          <w:ilvl w:val="0"/>
          <w:numId w:val="18"/>
        </w:numPr>
        <w:pBdr>
          <w:top w:val="nil"/>
          <w:left w:val="nil"/>
          <w:bottom w:val="nil"/>
          <w:right w:val="nil"/>
          <w:between w:val="nil"/>
          <w:bar w:val="nil"/>
        </w:pBdr>
        <w:rPr>
          <w:rFonts w:ascii="Arial" w:hAnsi="Arial" w:cs="Arial"/>
          <w:b/>
          <w:sz w:val="18"/>
          <w:szCs w:val="18"/>
          <w:bdr w:val="nil"/>
        </w:rPr>
      </w:pPr>
      <w:r w:rsidRPr="00AE6D00">
        <w:rPr>
          <w:rFonts w:ascii="Arial" w:hAnsi="Arial" w:cs="Arial"/>
          <w:b/>
          <w:sz w:val="18"/>
          <w:szCs w:val="18"/>
          <w:bdr w:val="nil"/>
        </w:rPr>
        <w:t>Passivos Contingentes - Prováveis</w:t>
      </w:r>
    </w:p>
    <w:p w:rsidR="00BA7135" w:rsidRPr="004A7030" w:rsidRDefault="00A82039" w:rsidP="00BA7135">
      <w:pPr>
        <w:pStyle w:val="01-Textonormal"/>
        <w:keepNext/>
        <w:pBdr>
          <w:top w:val="nil"/>
          <w:left w:val="nil"/>
          <w:bottom w:val="nil"/>
          <w:right w:val="nil"/>
          <w:between w:val="nil"/>
          <w:bar w:val="nil"/>
        </w:pBdr>
        <w:rPr>
          <w:b/>
          <w:bdr w:val="nil"/>
        </w:rPr>
      </w:pPr>
      <w:r w:rsidRPr="004A7030">
        <w:rPr>
          <w:b/>
          <w:bdr w:val="nil"/>
        </w:rPr>
        <w:t xml:space="preserve">Ações </w:t>
      </w:r>
      <w:r>
        <w:rPr>
          <w:b/>
          <w:bdr w:val="nil"/>
        </w:rPr>
        <w:t>Cíveis</w:t>
      </w:r>
    </w:p>
    <w:p w:rsidR="00BA7135" w:rsidRDefault="00A82039" w:rsidP="00BA7135">
      <w:pPr>
        <w:pStyle w:val="01-Textonormal"/>
        <w:pBdr>
          <w:top w:val="nil"/>
          <w:left w:val="nil"/>
          <w:bottom w:val="nil"/>
          <w:right w:val="nil"/>
          <w:between w:val="nil"/>
          <w:bar w:val="nil"/>
        </w:pBdr>
        <w:rPr>
          <w:bdr w:val="nil"/>
        </w:rPr>
      </w:pPr>
      <w:r w:rsidRPr="004A7030">
        <w:rPr>
          <w:bdr w:val="nil"/>
        </w:rPr>
        <w:t>As ações movidas contra a Ativos S.A. têm objeto</w:t>
      </w:r>
      <w:r>
        <w:rPr>
          <w:bdr w:val="nil"/>
        </w:rPr>
        <w:t>, principalmente,</w:t>
      </w:r>
      <w:r w:rsidRPr="004A7030">
        <w:rPr>
          <w:bdr w:val="nil"/>
        </w:rPr>
        <w:t xml:space="preserve"> em pedidos de indenização com base em alegações de danos fundamentados no Código de Defesa do Consumidor, bem como, na inclusão/manutenção do nome de </w:t>
      </w:r>
      <w:r>
        <w:rPr>
          <w:bdr w:val="nil"/>
        </w:rPr>
        <w:t>devedores</w:t>
      </w:r>
      <w:r w:rsidRPr="004A7030">
        <w:rPr>
          <w:bdr w:val="nil"/>
        </w:rPr>
        <w:t xml:space="preserve"> em órgãos de proteção ao crédito.</w:t>
      </w:r>
    </w:p>
    <w:p w:rsidR="00083D26" w:rsidRPr="00083D26" w:rsidRDefault="00A82039" w:rsidP="00083D26">
      <w:pPr>
        <w:pStyle w:val="01-Textonormal"/>
        <w:keepNext/>
        <w:pBdr>
          <w:top w:val="nil"/>
          <w:left w:val="nil"/>
          <w:bottom w:val="nil"/>
          <w:right w:val="nil"/>
          <w:between w:val="nil"/>
          <w:bar w:val="nil"/>
        </w:pBdr>
        <w:rPr>
          <w:b/>
          <w:bdr w:val="nil"/>
        </w:rPr>
      </w:pPr>
      <w:r w:rsidRPr="00083D26">
        <w:rPr>
          <w:b/>
          <w:bdr w:val="nil"/>
        </w:rPr>
        <w:t>Ações Trabalhistas</w:t>
      </w:r>
    </w:p>
    <w:p w:rsidR="00451FB2" w:rsidRDefault="00A82039" w:rsidP="00451FB2">
      <w:pPr>
        <w:pStyle w:val="01-Textonormal"/>
        <w:keepNext/>
        <w:pBdr>
          <w:top w:val="nil"/>
          <w:left w:val="nil"/>
          <w:bottom w:val="nil"/>
          <w:right w:val="nil"/>
          <w:between w:val="nil"/>
          <w:bar w:val="nil"/>
        </w:pBdr>
        <w:spacing w:after="0"/>
        <w:rPr>
          <w:bdr w:val="nil"/>
        </w:rPr>
      </w:pPr>
      <w:r w:rsidRPr="00083D26">
        <w:rPr>
          <w:bdr w:val="nil"/>
        </w:rPr>
        <w:t>Referem-se</w:t>
      </w:r>
      <w:r>
        <w:rPr>
          <w:bdr w:val="nil"/>
        </w:rPr>
        <w:t>, em sua maioria, a ações oriundas de</w:t>
      </w:r>
      <w:r w:rsidRPr="00083D26">
        <w:rPr>
          <w:bdr w:val="nil"/>
        </w:rPr>
        <w:t xml:space="preserve"> </w:t>
      </w:r>
      <w:r w:rsidRPr="00451FB2">
        <w:rPr>
          <w:bdr w:val="nil"/>
        </w:rPr>
        <w:t>funcionários das empresas de cobrança terceirizadas</w:t>
      </w:r>
      <w:r>
        <w:rPr>
          <w:bdr w:val="nil"/>
        </w:rPr>
        <w:t>, sob alegação de responsabilidade</w:t>
      </w:r>
      <w:r w:rsidRPr="00451FB2">
        <w:rPr>
          <w:bdr w:val="nil"/>
        </w:rPr>
        <w:t xml:space="preserve"> subsidiária</w:t>
      </w:r>
      <w:r>
        <w:rPr>
          <w:bdr w:val="nil"/>
        </w:rPr>
        <w:t xml:space="preserve"> da Ativos S.A</w:t>
      </w:r>
      <w:r w:rsidRPr="00451FB2">
        <w:rPr>
          <w:bdr w:val="nil"/>
        </w:rPr>
        <w:t>.</w:t>
      </w:r>
    </w:p>
    <w:p w:rsidR="00451FB2" w:rsidRPr="004A7030" w:rsidRDefault="00451FB2" w:rsidP="006367BF">
      <w:pPr>
        <w:pStyle w:val="07-Legenda"/>
        <w:pBdr>
          <w:top w:val="nil"/>
          <w:left w:val="nil"/>
          <w:bottom w:val="nil"/>
          <w:right w:val="nil"/>
          <w:between w:val="nil"/>
          <w:bar w:val="nil"/>
        </w:pBdr>
        <w:spacing w:before="0"/>
        <w:rPr>
          <w:bdr w:val="nil"/>
        </w:rPr>
      </w:pPr>
    </w:p>
    <w:p w:rsidR="0050661F" w:rsidRPr="00BA7135" w:rsidRDefault="00A82039" w:rsidP="00CC4047">
      <w:pPr>
        <w:pStyle w:val="01-Textonormal"/>
        <w:keepNext/>
        <w:keepLines/>
        <w:pBdr>
          <w:top w:val="nil"/>
          <w:left w:val="nil"/>
          <w:bottom w:val="nil"/>
          <w:right w:val="nil"/>
          <w:between w:val="nil"/>
          <w:bar w:val="nil"/>
        </w:pBdr>
        <w:spacing w:before="0" w:after="0"/>
        <w:rPr>
          <w:b/>
          <w:bdr w:val="nil"/>
        </w:rPr>
      </w:pPr>
      <w:r>
        <w:rPr>
          <w:b/>
          <w:bdr w:val="nil"/>
        </w:rPr>
        <w:t>Movimentações</w:t>
      </w:r>
      <w:r w:rsidRPr="00BA7135">
        <w:rPr>
          <w:b/>
          <w:bdr w:val="nil"/>
        </w:rPr>
        <w:t xml:space="preserve"> na</w:t>
      </w:r>
      <w:r>
        <w:rPr>
          <w:b/>
          <w:bdr w:val="nil"/>
        </w:rPr>
        <w:t>s</w:t>
      </w:r>
      <w:r w:rsidRPr="00BA7135">
        <w:rPr>
          <w:b/>
          <w:bdr w:val="nil"/>
        </w:rPr>
        <w:t xml:space="preserve"> provi</w:t>
      </w:r>
      <w:r>
        <w:rPr>
          <w:b/>
          <w:bdr w:val="nil"/>
        </w:rPr>
        <w:t>sões</w:t>
      </w:r>
      <w:r w:rsidRPr="00BA7135">
        <w:rPr>
          <w:b/>
          <w:bdr w:val="nil"/>
        </w:rPr>
        <w:t xml:space="preserve"> para demandas </w:t>
      </w:r>
      <w:r>
        <w:rPr>
          <w:b/>
          <w:bdr w:val="nil"/>
        </w:rPr>
        <w:t xml:space="preserve">trabalhistas e </w:t>
      </w:r>
      <w:r w:rsidRPr="00BA7135">
        <w:rPr>
          <w:b/>
          <w:bdr w:val="nil"/>
        </w:rPr>
        <w:t>cíveis</w:t>
      </w:r>
    </w:p>
    <w:tbl>
      <w:tblPr>
        <w:tblW w:w="9705" w:type="dxa"/>
        <w:tblLayout w:type="fixed"/>
        <w:tblLook w:val="0600" w:firstRow="0" w:lastRow="0" w:firstColumn="0" w:lastColumn="0" w:noHBand="1" w:noVBand="1"/>
        <w:tblCaption w:val="NEPASSIVCONTOBRIGLEGMovProv"/>
      </w:tblPr>
      <w:tblGrid>
        <w:gridCol w:w="6405"/>
        <w:gridCol w:w="1650"/>
        <w:gridCol w:w="1650"/>
      </w:tblGrid>
      <w:tr w:rsidR="00566CE2">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Exercício/2019</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Exercício/2018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Demandas Trabalhistas</w:t>
            </w:r>
          </w:p>
        </w:tc>
        <w:tc>
          <w:tcPr>
            <w:tcW w:w="1650" w:type="dxa"/>
            <w:tcBorders>
              <w:top w:val="single" w:sz="8" w:space="0" w:color="000000"/>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single" w:sz="8" w:space="0" w:color="000000"/>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Saldo inicial</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289</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293</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Constituição</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1.956</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118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Reversão da provisão</w:t>
            </w:r>
          </w:p>
        </w:tc>
        <w:tc>
          <w:tcPr>
            <w:tcW w:w="1650"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(106)</w:t>
            </w:r>
          </w:p>
        </w:tc>
        <w:tc>
          <w:tcPr>
            <w:tcW w:w="1650"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(122)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Saldo final</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2.139</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289</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Demandas Cíveis</w:t>
            </w:r>
          </w:p>
        </w:tc>
        <w:tc>
          <w:tcPr>
            <w:tcW w:w="1650"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Saldo inicial</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22.988</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24.872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Constituição</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25.840</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25.112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Reversão da provisão</w:t>
            </w:r>
          </w:p>
        </w:tc>
        <w:tc>
          <w:tcPr>
            <w:tcW w:w="1650"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(21.440)</w:t>
            </w:r>
          </w:p>
        </w:tc>
        <w:tc>
          <w:tcPr>
            <w:tcW w:w="1650"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(26.996)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Saldo final</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27.388</w:t>
            </w:r>
          </w:p>
        </w:tc>
        <w:tc>
          <w:tcPr>
            <w:tcW w:w="1650" w:type="dxa"/>
            <w:tcBorders>
              <w:top w:val="nil"/>
              <w:left w:val="nil"/>
              <w:bottom w:val="nil"/>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22.988</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29.527</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23.277</w:t>
            </w:r>
          </w:p>
        </w:tc>
      </w:tr>
    </w:tbl>
    <w:p w:rsidR="003B60C3" w:rsidRDefault="003B60C3" w:rsidP="006228E6">
      <w:pPr>
        <w:pStyle w:val="01-Textonormal"/>
        <w:keepNext/>
        <w:pBdr>
          <w:top w:val="nil"/>
          <w:left w:val="nil"/>
          <w:bottom w:val="nil"/>
          <w:right w:val="nil"/>
          <w:between w:val="nil"/>
          <w:bar w:val="nil"/>
        </w:pBdr>
        <w:spacing w:after="0"/>
        <w:rPr>
          <w:rFonts w:cs="Arial"/>
          <w:color w:val="000000"/>
          <w:szCs w:val="18"/>
          <w:bdr w:val="nil"/>
        </w:rPr>
      </w:pPr>
    </w:p>
    <w:p w:rsidR="006228E6" w:rsidRPr="00EB6512" w:rsidRDefault="00A82039" w:rsidP="006228E6">
      <w:pPr>
        <w:pStyle w:val="01-Textonormal"/>
        <w:keepNext/>
        <w:pBdr>
          <w:top w:val="nil"/>
          <w:left w:val="nil"/>
          <w:bottom w:val="nil"/>
          <w:right w:val="nil"/>
          <w:between w:val="nil"/>
          <w:bar w:val="nil"/>
        </w:pBdr>
        <w:spacing w:after="0"/>
        <w:rPr>
          <w:color w:val="000000"/>
          <w:bdr w:val="nil"/>
        </w:rPr>
      </w:pPr>
      <w:r w:rsidRPr="00EB6512">
        <w:rPr>
          <w:rFonts w:cs="Arial"/>
          <w:color w:val="000000"/>
          <w:szCs w:val="18"/>
          <w:bdr w:val="nil"/>
        </w:rPr>
        <w:t>A Administração da Ativos S.A.</w:t>
      </w:r>
      <w:r>
        <w:rPr>
          <w:rFonts w:cs="Arial"/>
          <w:color w:val="000000"/>
          <w:szCs w:val="18"/>
          <w:bdr w:val="nil"/>
        </w:rPr>
        <w:t xml:space="preserve">  </w:t>
      </w:r>
      <w:r w:rsidRPr="00EB6512">
        <w:rPr>
          <w:rFonts w:cs="Arial"/>
          <w:color w:val="000000"/>
          <w:szCs w:val="18"/>
          <w:bdr w:val="nil"/>
        </w:rPr>
        <w:t>considera</w:t>
      </w:r>
      <w:r>
        <w:rPr>
          <w:rFonts w:cs="Arial"/>
          <w:color w:val="000000"/>
          <w:szCs w:val="18"/>
          <w:bdr w:val="nil"/>
        </w:rPr>
        <w:t xml:space="preserve"> </w:t>
      </w:r>
      <w:r w:rsidRPr="00EB6512">
        <w:rPr>
          <w:rFonts w:cs="Arial"/>
          <w:color w:val="000000"/>
          <w:szCs w:val="18"/>
          <w:bdr w:val="nil"/>
        </w:rPr>
        <w:t>suficientes as provisões constituídas para atendimento às perdas decorrentes de demandas trabalhistas e cíveis.</w:t>
      </w:r>
    </w:p>
    <w:p w:rsidR="00577DD4" w:rsidRPr="00AF5D31" w:rsidRDefault="00577DD4" w:rsidP="006367BF">
      <w:pPr>
        <w:pStyle w:val="07-Legenda"/>
        <w:pBdr>
          <w:top w:val="nil"/>
          <w:left w:val="nil"/>
          <w:bottom w:val="nil"/>
          <w:right w:val="nil"/>
          <w:between w:val="nil"/>
          <w:bar w:val="nil"/>
        </w:pBdr>
        <w:spacing w:before="0"/>
        <w:rPr>
          <w:bdr w:val="nil"/>
        </w:rPr>
      </w:pPr>
    </w:p>
    <w:p w:rsidR="00577DD4" w:rsidRPr="00AF5D31" w:rsidRDefault="00A82039" w:rsidP="00C62294">
      <w:pPr>
        <w:pStyle w:val="01-Textonormal"/>
        <w:keepNext/>
        <w:pBdr>
          <w:top w:val="nil"/>
          <w:left w:val="nil"/>
          <w:bottom w:val="nil"/>
          <w:right w:val="nil"/>
          <w:between w:val="nil"/>
          <w:bar w:val="nil"/>
        </w:pBdr>
        <w:spacing w:before="0" w:after="0"/>
        <w:rPr>
          <w:b/>
          <w:bdr w:val="nil"/>
        </w:rPr>
      </w:pPr>
      <w:r w:rsidRPr="00AF5D31">
        <w:rPr>
          <w:b/>
          <w:bdr w:val="nil"/>
        </w:rPr>
        <w:lastRenderedPageBreak/>
        <w:t>Cronograma esperado de desembolsos</w:t>
      </w:r>
    </w:p>
    <w:tbl>
      <w:tblPr>
        <w:tblW w:w="9705" w:type="dxa"/>
        <w:tblLayout w:type="fixed"/>
        <w:tblLook w:val="0600" w:firstRow="0" w:lastRow="0" w:firstColumn="0" w:lastColumn="0" w:noHBand="1" w:noVBand="1"/>
        <w:tblCaption w:val="NEPASSIVCONTOBRIGLEGCronoDesem"/>
      </w:tblPr>
      <w:tblGrid>
        <w:gridCol w:w="6405"/>
        <w:gridCol w:w="1650"/>
        <w:gridCol w:w="1650"/>
      </w:tblGrid>
      <w:tr w:rsidR="00566CE2">
        <w:trPr>
          <w:cantSplit/>
          <w:trHeight w:val="270"/>
        </w:trPr>
        <w:tc>
          <w:tcPr>
            <w:tcW w:w="6405"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rsidR="00566CE2" w:rsidRDefault="00566CE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Trabalhistas</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Cíveis</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8" w:space="0" w:color="000000"/>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Até 5 anos</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1.882</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24.102</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noWrap/>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Acima de 5 anos</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257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3.286</w:t>
            </w:r>
          </w:p>
        </w:tc>
      </w:tr>
      <w:tr w:rsidR="0056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rsidR="00566CE2" w:rsidRDefault="00A8203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2.139</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rsidR="00566CE2" w:rsidRDefault="00A8203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27.388</w:t>
            </w:r>
          </w:p>
        </w:tc>
      </w:tr>
    </w:tbl>
    <w:p w:rsidR="00F4457F" w:rsidRDefault="00F4457F" w:rsidP="00F4457F">
      <w:pPr>
        <w:pStyle w:val="07-Legenda"/>
        <w:pBdr>
          <w:top w:val="nil"/>
          <w:left w:val="nil"/>
          <w:bottom w:val="nil"/>
          <w:right w:val="nil"/>
          <w:between w:val="nil"/>
          <w:bar w:val="nil"/>
        </w:pBdr>
        <w:spacing w:before="0"/>
        <w:rPr>
          <w:bdr w:val="nil"/>
        </w:rPr>
      </w:pPr>
    </w:p>
    <w:p w:rsidR="00577DD4" w:rsidRPr="00AC57CE" w:rsidRDefault="00A82039" w:rsidP="00AC57CE">
      <w:pPr>
        <w:pStyle w:val="01-Textonormal"/>
        <w:pBdr>
          <w:top w:val="nil"/>
          <w:left w:val="nil"/>
          <w:bottom w:val="nil"/>
          <w:right w:val="nil"/>
          <w:between w:val="nil"/>
          <w:bar w:val="nil"/>
        </w:pBdr>
        <w:spacing w:after="0"/>
        <w:rPr>
          <w:bdr w:val="nil"/>
        </w:rPr>
      </w:pPr>
      <w:r w:rsidRPr="00AC57CE">
        <w:rPr>
          <w:bdr w:val="nil"/>
        </w:rPr>
        <w:t>O cenário de incerteza de duração dos processos, bem como a possibilidade de alterações na jurisprudência dos tribunais, tornam incertos os valores e o cronograma esperado de saídas.</w:t>
      </w:r>
    </w:p>
    <w:p w:rsidR="00973735" w:rsidRPr="00AF5D31" w:rsidRDefault="00973735" w:rsidP="006367BF">
      <w:pPr>
        <w:pStyle w:val="07-Legenda"/>
        <w:pBdr>
          <w:top w:val="nil"/>
          <w:left w:val="nil"/>
          <w:bottom w:val="nil"/>
          <w:right w:val="nil"/>
          <w:between w:val="nil"/>
          <w:bar w:val="nil"/>
        </w:pBdr>
        <w:spacing w:before="0"/>
        <w:rPr>
          <w:snapToGrid w:val="0"/>
          <w:bdr w:val="nil"/>
        </w:rPr>
      </w:pPr>
    </w:p>
    <w:p w:rsidR="0050661F" w:rsidRPr="00AE6D00" w:rsidRDefault="00A82039" w:rsidP="00AE6D00">
      <w:pPr>
        <w:pStyle w:val="PargrafodaLista"/>
        <w:numPr>
          <w:ilvl w:val="0"/>
          <w:numId w:val="18"/>
        </w:numPr>
        <w:pBdr>
          <w:top w:val="nil"/>
          <w:left w:val="nil"/>
          <w:bottom w:val="nil"/>
          <w:right w:val="nil"/>
          <w:between w:val="nil"/>
          <w:bar w:val="nil"/>
        </w:pBdr>
        <w:rPr>
          <w:rFonts w:ascii="Arial" w:hAnsi="Arial" w:cs="Arial"/>
          <w:b/>
          <w:sz w:val="18"/>
          <w:szCs w:val="18"/>
          <w:bdr w:val="nil"/>
        </w:rPr>
      </w:pPr>
      <w:r w:rsidRPr="00AE6D00">
        <w:rPr>
          <w:rFonts w:ascii="Arial" w:hAnsi="Arial" w:cs="Arial"/>
          <w:b/>
          <w:sz w:val="18"/>
          <w:szCs w:val="18"/>
          <w:bdr w:val="nil"/>
        </w:rPr>
        <w:t>Passivos Contingentes – Possíveis</w:t>
      </w:r>
    </w:p>
    <w:p w:rsidR="00377417" w:rsidRDefault="00A82039" w:rsidP="00D36676">
      <w:pPr>
        <w:pStyle w:val="01-Textonormal"/>
        <w:keepNext/>
        <w:pBdr>
          <w:top w:val="nil"/>
          <w:left w:val="nil"/>
          <w:bottom w:val="nil"/>
          <w:right w:val="nil"/>
          <w:between w:val="nil"/>
          <w:bar w:val="nil"/>
        </w:pBdr>
        <w:rPr>
          <w:b/>
          <w:bdr w:val="nil"/>
        </w:rPr>
      </w:pPr>
      <w:r w:rsidRPr="004A7030">
        <w:rPr>
          <w:b/>
          <w:bdr w:val="nil"/>
        </w:rPr>
        <w:t xml:space="preserve">Ações </w:t>
      </w:r>
      <w:r>
        <w:rPr>
          <w:b/>
          <w:bdr w:val="nil"/>
        </w:rPr>
        <w:t>Cíveis e Trabalhistas</w:t>
      </w:r>
    </w:p>
    <w:p w:rsidR="00EB1313" w:rsidRPr="00AC57CE" w:rsidRDefault="00A82039" w:rsidP="00EB1313">
      <w:pPr>
        <w:pStyle w:val="01-Textonormal"/>
        <w:pBdr>
          <w:top w:val="nil"/>
          <w:left w:val="nil"/>
          <w:bottom w:val="nil"/>
          <w:right w:val="nil"/>
          <w:between w:val="nil"/>
          <w:bar w:val="nil"/>
        </w:pBdr>
        <w:spacing w:after="0"/>
        <w:rPr>
          <w:bdr w:val="nil"/>
        </w:rPr>
      </w:pPr>
      <w:r>
        <w:rPr>
          <w:bdr w:val="nil"/>
        </w:rPr>
        <w:t>Não há outras demandas cíveis e trabalhistas classificadas com risco de perda possível, que não aquelas já incluídas no método massificado e que estão provisionadas (Nota 19.b), que necessitam ser divulgadas.</w:t>
      </w:r>
    </w:p>
    <w:p w:rsidR="00A24242" w:rsidRDefault="00A24242" w:rsidP="002E4C9B">
      <w:pPr>
        <w:pStyle w:val="01-Textonormal"/>
        <w:keepNext/>
        <w:pBdr>
          <w:top w:val="nil"/>
          <w:left w:val="nil"/>
          <w:bottom w:val="nil"/>
          <w:right w:val="nil"/>
          <w:between w:val="nil"/>
          <w:bar w:val="nil"/>
        </w:pBdr>
        <w:spacing w:before="0"/>
        <w:rPr>
          <w:bdr w:val="nil"/>
        </w:rPr>
      </w:pPr>
    </w:p>
    <w:p w:rsidR="00AE6C75" w:rsidRPr="00AE6D00" w:rsidRDefault="00A82039" w:rsidP="00AE6D00">
      <w:pPr>
        <w:pStyle w:val="PargrafodaLista"/>
        <w:numPr>
          <w:ilvl w:val="0"/>
          <w:numId w:val="18"/>
        </w:numPr>
        <w:pBdr>
          <w:top w:val="nil"/>
          <w:left w:val="nil"/>
          <w:bottom w:val="nil"/>
          <w:right w:val="nil"/>
          <w:between w:val="nil"/>
          <w:bar w:val="nil"/>
        </w:pBdr>
        <w:rPr>
          <w:rFonts w:ascii="Arial" w:hAnsi="Arial" w:cs="Arial"/>
          <w:b/>
          <w:sz w:val="18"/>
          <w:szCs w:val="18"/>
          <w:bdr w:val="nil"/>
        </w:rPr>
      </w:pPr>
      <w:r w:rsidRPr="00AE6D00">
        <w:rPr>
          <w:rFonts w:ascii="Arial" w:hAnsi="Arial" w:cs="Arial"/>
          <w:b/>
          <w:sz w:val="18"/>
          <w:szCs w:val="18"/>
          <w:bdr w:val="nil"/>
        </w:rPr>
        <w:t>Obrigações Legais</w:t>
      </w:r>
    </w:p>
    <w:p w:rsidR="001433A8" w:rsidRDefault="00A82039" w:rsidP="00C0295E">
      <w:pPr>
        <w:pStyle w:val="01-Textonormal"/>
        <w:pBdr>
          <w:top w:val="nil"/>
          <w:left w:val="nil"/>
          <w:bottom w:val="nil"/>
          <w:right w:val="nil"/>
          <w:between w:val="nil"/>
          <w:bar w:val="nil"/>
        </w:pBdr>
        <w:spacing w:after="0"/>
        <w:rPr>
          <w:bdr w:val="nil"/>
        </w:rPr>
      </w:pPr>
      <w:r>
        <w:rPr>
          <w:bdr w:val="nil"/>
        </w:rPr>
        <w:t>Em 31.12.2019</w:t>
      </w:r>
      <w:r w:rsidRPr="00C0295E">
        <w:rPr>
          <w:bdr w:val="nil"/>
        </w:rPr>
        <w:t xml:space="preserve"> e</w:t>
      </w:r>
      <w:r>
        <w:rPr>
          <w:bdr w:val="nil"/>
        </w:rPr>
        <w:t xml:space="preserve"> em 31.12.2018 </w:t>
      </w:r>
      <w:r w:rsidRPr="00D75744">
        <w:rPr>
          <w:bdr w:val="nil"/>
        </w:rPr>
        <w:t>não havia obrigações legais a serem registradas em Outras Obrigações – Fiscais e Previdenciárias</w:t>
      </w:r>
      <w:r>
        <w:rPr>
          <w:bdr w:val="nil"/>
        </w:rPr>
        <w:t>.</w:t>
      </w:r>
    </w:p>
    <w:p w:rsidR="0068668B" w:rsidRPr="00C0295E" w:rsidRDefault="0068668B" w:rsidP="00C0295E">
      <w:pPr>
        <w:pStyle w:val="01-Textonormal"/>
        <w:pBdr>
          <w:top w:val="nil"/>
          <w:left w:val="nil"/>
          <w:bottom w:val="nil"/>
          <w:right w:val="nil"/>
          <w:between w:val="nil"/>
          <w:bar w:val="nil"/>
        </w:pBdr>
        <w:spacing w:after="0"/>
        <w:rPr>
          <w:bdr w:val="nil"/>
        </w:rPr>
      </w:pPr>
    </w:p>
    <w:p w:rsidR="00C90D41" w:rsidRDefault="00A82039" w:rsidP="00ED4BE0">
      <w:pPr>
        <w:pStyle w:val="02-TtulodeNota"/>
        <w:pBdr>
          <w:top w:val="nil"/>
          <w:left w:val="nil"/>
          <w:bottom w:val="nil"/>
          <w:right w:val="nil"/>
          <w:between w:val="nil"/>
          <w:bar w:val="nil"/>
        </w:pBdr>
        <w:spacing w:before="120" w:line="276" w:lineRule="auto"/>
        <w:rPr>
          <w:color w:val="auto"/>
          <w:bdr w:val="nil"/>
        </w:rPr>
      </w:pPr>
      <w:r w:rsidRPr="00F40E8D">
        <w:rPr>
          <w:rFonts w:cs="Times New Roman"/>
          <w:color w:val="auto"/>
          <w:szCs w:val="20"/>
          <w:bdr w:val="nil"/>
        </w:rPr>
        <w:t>20 - oUTRAS INFORMAÇÕES</w:t>
      </w:r>
    </w:p>
    <w:p w:rsidR="00570E5A" w:rsidRPr="00570E5A" w:rsidRDefault="00A82039" w:rsidP="004D61B3">
      <w:pPr>
        <w:pStyle w:val="03-SubttulodeNota"/>
        <w:numPr>
          <w:ilvl w:val="0"/>
          <w:numId w:val="0"/>
        </w:numPr>
        <w:pBdr>
          <w:top w:val="nil"/>
          <w:left w:val="nil"/>
          <w:bottom w:val="nil"/>
          <w:right w:val="nil"/>
          <w:between w:val="nil"/>
          <w:bar w:val="nil"/>
        </w:pBdr>
        <w:ind w:left="454" w:hanging="454"/>
        <w:rPr>
          <w:bdr w:val="nil"/>
        </w:rPr>
      </w:pPr>
      <w:r>
        <w:rPr>
          <w:szCs w:val="20"/>
          <w:bdr w:val="nil"/>
        </w:rPr>
        <w:t xml:space="preserve">Redução ao Valor Recuperável </w:t>
      </w:r>
    </w:p>
    <w:p w:rsidR="00570E5A" w:rsidRDefault="00A82039" w:rsidP="004D61B3">
      <w:pPr>
        <w:pStyle w:val="01-Textonormal"/>
        <w:pBdr>
          <w:top w:val="nil"/>
          <w:left w:val="nil"/>
          <w:bottom w:val="nil"/>
          <w:right w:val="nil"/>
          <w:between w:val="nil"/>
          <w:bar w:val="nil"/>
        </w:pBdr>
        <w:rPr>
          <w:bdr w:val="nil"/>
        </w:rPr>
      </w:pPr>
      <w:r>
        <w:rPr>
          <w:bdr w:val="nil"/>
        </w:rPr>
        <w:t xml:space="preserve">No exercício de </w:t>
      </w:r>
      <w:r>
        <w:rPr>
          <w:szCs w:val="18"/>
          <w:bdr w:val="nil"/>
        </w:rPr>
        <w:t>2019</w:t>
      </w:r>
      <w:r>
        <w:rPr>
          <w:bdr w:val="nil"/>
        </w:rPr>
        <w:t>, o estudo realizado não identificou ativos com indícios de desvalorização que justificasse o reconhecimento de perdas por redução ao valor recuperável, conforme determina o CPC 01 (R4).</w:t>
      </w:r>
    </w:p>
    <w:p w:rsidR="00825BD3" w:rsidRDefault="00825BD3" w:rsidP="004D61B3">
      <w:pPr>
        <w:pStyle w:val="01-Textonormal"/>
        <w:pBdr>
          <w:top w:val="nil"/>
          <w:left w:val="nil"/>
          <w:bottom w:val="nil"/>
          <w:right w:val="nil"/>
          <w:between w:val="nil"/>
          <w:bar w:val="nil"/>
        </w:pBdr>
        <w:rPr>
          <w:bdr w:val="nil"/>
        </w:rPr>
        <w:sectPr w:rsidR="00825BD3" w:rsidSect="002F5AB7">
          <w:headerReference w:type="even" r:id="rId38"/>
          <w:headerReference w:type="default" r:id="rId39"/>
          <w:footerReference w:type="even" r:id="rId40"/>
          <w:footerReference w:type="default" r:id="rId41"/>
          <w:headerReference w:type="first" r:id="rId42"/>
          <w:footerReference w:type="first" r:id="rId43"/>
          <w:type w:val="continuous"/>
          <w:pgSz w:w="11906" w:h="16838"/>
          <w:pgMar w:top="1134" w:right="1134" w:bottom="1134" w:left="1134" w:header="425" w:footer="425" w:gutter="0"/>
          <w:pgBorders>
            <w:top w:val="nil"/>
            <w:left w:val="nil"/>
            <w:bottom w:val="nil"/>
            <w:right w:val="nil"/>
          </w:pgBorders>
          <w:cols w:space="720"/>
          <w:docGrid w:linePitch="360"/>
        </w:sectPr>
      </w:pPr>
    </w:p>
    <w:p w:rsidR="00D76FFE" w:rsidRPr="00D76FFE" w:rsidRDefault="00A82039" w:rsidP="00D76FFE">
      <w:pPr>
        <w:keepLines/>
        <w:pageBreakBefore/>
        <w:widowControl w:val="0"/>
        <w:pBdr>
          <w:top w:val="nil"/>
          <w:left w:val="nil"/>
          <w:bottom w:val="nil"/>
          <w:right w:val="nil"/>
          <w:between w:val="nil"/>
          <w:bar w:val="nil"/>
        </w:pBdr>
        <w:spacing w:before="0" w:after="0" w:line="240" w:lineRule="auto"/>
        <w:jc w:val="left"/>
        <w:rPr>
          <w:rFonts w:cs="Arial"/>
          <w:color w:val="000000"/>
          <w:bdr w:val="nil"/>
        </w:rPr>
      </w:pPr>
      <w:r w:rsidRPr="00D76FFE">
        <w:rPr>
          <w:rFonts w:cs="Arial"/>
          <w:color w:val="000000"/>
          <w:bdr w:val="nil"/>
        </w:rPr>
        <w:lastRenderedPageBreak/>
        <w:t>Aos Conselheiros, Diretores e Acionistas da</w:t>
      </w:r>
    </w:p>
    <w:p w:rsidR="00D76FFE" w:rsidRPr="00D76FFE" w:rsidRDefault="00A82039" w:rsidP="00D76FFE">
      <w:pPr>
        <w:keepLines/>
        <w:widowControl w:val="0"/>
        <w:pBdr>
          <w:top w:val="nil"/>
          <w:left w:val="nil"/>
          <w:bottom w:val="nil"/>
          <w:right w:val="nil"/>
          <w:between w:val="nil"/>
          <w:bar w:val="nil"/>
        </w:pBdr>
        <w:spacing w:before="0" w:after="200" w:line="240" w:lineRule="auto"/>
        <w:jc w:val="left"/>
        <w:rPr>
          <w:rFonts w:cs="Arial"/>
          <w:bdr w:val="nil"/>
        </w:rPr>
      </w:pPr>
      <w:r w:rsidRPr="00D76FFE">
        <w:rPr>
          <w:rFonts w:cs="Arial"/>
          <w:bdr w:val="nil"/>
        </w:rPr>
        <w:t>Ativos S.A. - Securitizadora de Créditos Financeiros</w:t>
      </w:r>
    </w:p>
    <w:p w:rsidR="00D76FFE" w:rsidRPr="00D76FFE" w:rsidRDefault="00A82039" w:rsidP="00D76FFE">
      <w:pPr>
        <w:keepLines/>
        <w:widowControl w:val="0"/>
        <w:pBdr>
          <w:top w:val="nil"/>
          <w:left w:val="nil"/>
          <w:bottom w:val="nil"/>
          <w:right w:val="nil"/>
          <w:between w:val="nil"/>
          <w:bar w:val="nil"/>
        </w:pBdr>
        <w:spacing w:before="0" w:after="200" w:line="240" w:lineRule="auto"/>
        <w:jc w:val="left"/>
        <w:rPr>
          <w:rFonts w:cs="Arial"/>
          <w:b/>
          <w:bdr w:val="nil"/>
        </w:rPr>
      </w:pPr>
      <w:r w:rsidRPr="00D76FFE">
        <w:rPr>
          <w:rFonts w:cs="Arial"/>
          <w:b/>
          <w:bdr w:val="nil"/>
        </w:rPr>
        <w:t>Opinião</w:t>
      </w:r>
    </w:p>
    <w:p w:rsidR="00D76FFE" w:rsidRPr="00D76FFE" w:rsidRDefault="00A82039" w:rsidP="00D76FFE">
      <w:pPr>
        <w:pStyle w:val="17TEXTOcorpojustificado"/>
        <w:keepLines/>
        <w:widowControl w:val="0"/>
        <w:pBdr>
          <w:top w:val="nil"/>
          <w:left w:val="nil"/>
          <w:bottom w:val="nil"/>
          <w:right w:val="nil"/>
          <w:between w:val="nil"/>
          <w:bar w:val="nil"/>
        </w:pBdr>
        <w:spacing w:after="200" w:line="240" w:lineRule="auto"/>
        <w:rPr>
          <w:rFonts w:ascii="Arial" w:eastAsia="Calibri" w:hAnsi="Arial" w:cs="Arial"/>
          <w:color w:val="000000"/>
          <w:sz w:val="18"/>
          <w:szCs w:val="18"/>
          <w:bdr w:val="nil"/>
        </w:rPr>
      </w:pPr>
      <w:r w:rsidRPr="00D76FFE">
        <w:rPr>
          <w:rFonts w:ascii="Arial" w:eastAsia="Calibri" w:hAnsi="Arial" w:cs="Arial"/>
          <w:color w:val="000000"/>
          <w:sz w:val="18"/>
          <w:szCs w:val="18"/>
          <w:bdr w:val="nil"/>
        </w:rPr>
        <w:t xml:space="preserve">Examinamos as demonstrações contábeis da </w:t>
      </w:r>
      <w:r w:rsidRPr="00D76FFE">
        <w:rPr>
          <w:rFonts w:ascii="Arial" w:hAnsi="Arial" w:cs="Arial"/>
          <w:sz w:val="18"/>
          <w:szCs w:val="18"/>
          <w:bdr w:val="nil"/>
        </w:rPr>
        <w:t>Ativos S.A. - Securitizadora de Créditos Financeiros</w:t>
      </w:r>
      <w:r w:rsidRPr="00D76FFE">
        <w:rPr>
          <w:rFonts w:ascii="Arial" w:eastAsia="Calibri" w:hAnsi="Arial" w:cs="Arial"/>
          <w:sz w:val="18"/>
          <w:szCs w:val="18"/>
          <w:bdr w:val="nil"/>
        </w:rPr>
        <w:t xml:space="preserve"> </w:t>
      </w:r>
      <w:r w:rsidRPr="00D76FFE">
        <w:rPr>
          <w:rFonts w:ascii="Arial" w:eastAsia="Calibri" w:hAnsi="Arial" w:cs="Arial"/>
          <w:color w:val="000000"/>
          <w:sz w:val="18"/>
          <w:szCs w:val="18"/>
          <w:bdr w:val="nil"/>
        </w:rPr>
        <w:t>(“Ativos S.A.”), que compreendem o balanço patrimonial em 31 de dezembro de 2019 e as respectivas demonstrações do resultado, do resultado abrangente, das mutações do patrimônio líquido e dos fluxos de caixa para o exercício findo naquela data, bem como as correspondentes notas explicativas, incluindo o resumo das principais práticas contábeis.</w:t>
      </w:r>
    </w:p>
    <w:p w:rsidR="00D76FFE" w:rsidRPr="00D76FFE" w:rsidRDefault="00A82039" w:rsidP="00D76FFE">
      <w:pPr>
        <w:pStyle w:val="17TEXTOcorpojustificado"/>
        <w:keepLines/>
        <w:widowControl w:val="0"/>
        <w:pBdr>
          <w:top w:val="nil"/>
          <w:left w:val="nil"/>
          <w:bottom w:val="nil"/>
          <w:right w:val="nil"/>
          <w:between w:val="nil"/>
          <w:bar w:val="nil"/>
        </w:pBdr>
        <w:spacing w:after="200" w:line="240" w:lineRule="auto"/>
        <w:rPr>
          <w:rFonts w:ascii="Arial" w:eastAsia="Calibri" w:hAnsi="Arial" w:cs="Arial"/>
          <w:color w:val="000000"/>
          <w:sz w:val="18"/>
          <w:szCs w:val="18"/>
          <w:bdr w:val="nil"/>
        </w:rPr>
      </w:pPr>
      <w:r w:rsidRPr="00D76FFE">
        <w:rPr>
          <w:rFonts w:ascii="Arial" w:eastAsia="Calibri" w:hAnsi="Arial" w:cs="Arial"/>
          <w:color w:val="000000"/>
          <w:sz w:val="18"/>
          <w:szCs w:val="18"/>
          <w:bdr w:val="nil"/>
        </w:rPr>
        <w:t>Em nossa opinião, as demonstrações contábeis acima referidas apresentam adequadamente, em todos os aspectos relevantes, a posição patrimonial e financeira da Ativos S.A. em</w:t>
      </w:r>
      <w:r>
        <w:rPr>
          <w:rFonts w:ascii="Arial" w:eastAsia="Calibri" w:hAnsi="Arial" w:cs="Arial"/>
          <w:color w:val="000000"/>
          <w:sz w:val="18"/>
          <w:szCs w:val="18"/>
          <w:bdr w:val="nil"/>
        </w:rPr>
        <w:t xml:space="preserve"> </w:t>
      </w:r>
      <w:r w:rsidRPr="00D76FFE">
        <w:rPr>
          <w:rFonts w:ascii="Arial" w:eastAsia="Calibri" w:hAnsi="Arial" w:cs="Arial"/>
          <w:color w:val="000000"/>
          <w:sz w:val="18"/>
          <w:szCs w:val="18"/>
          <w:bdr w:val="nil"/>
        </w:rPr>
        <w:t xml:space="preserve">31 de dezembro de 2019, o desempenho de suas operações e os seus fluxos de caixa para o exercício findo naquela data, de acordo com as práticas contábeis adotadas no Brasil. </w:t>
      </w:r>
    </w:p>
    <w:p w:rsidR="00D76FFE" w:rsidRPr="00D76FFE" w:rsidRDefault="00A82039" w:rsidP="00D76FFE">
      <w:pPr>
        <w:keepLines/>
        <w:widowControl w:val="0"/>
        <w:pBdr>
          <w:top w:val="nil"/>
          <w:left w:val="nil"/>
          <w:bottom w:val="nil"/>
          <w:right w:val="nil"/>
          <w:between w:val="nil"/>
          <w:bar w:val="nil"/>
        </w:pBdr>
        <w:spacing w:before="0" w:after="200" w:line="240" w:lineRule="auto"/>
        <w:jc w:val="left"/>
        <w:rPr>
          <w:rFonts w:cs="Arial"/>
          <w:b/>
          <w:bdr w:val="nil"/>
        </w:rPr>
      </w:pPr>
      <w:r w:rsidRPr="00D76FFE">
        <w:rPr>
          <w:rFonts w:cs="Arial"/>
          <w:b/>
          <w:bdr w:val="nil"/>
        </w:rPr>
        <w:t>Base para opinião</w:t>
      </w:r>
    </w:p>
    <w:p w:rsidR="00D76FFE" w:rsidRPr="00D76FFE" w:rsidRDefault="00A82039" w:rsidP="00D76FFE">
      <w:pPr>
        <w:keepLines/>
        <w:widowControl w:val="0"/>
        <w:pBdr>
          <w:top w:val="nil"/>
          <w:left w:val="nil"/>
          <w:bottom w:val="nil"/>
          <w:right w:val="nil"/>
          <w:between w:val="nil"/>
          <w:bar w:val="nil"/>
        </w:pBdr>
        <w:spacing w:before="0" w:after="200" w:line="240" w:lineRule="auto"/>
        <w:rPr>
          <w:rFonts w:cs="Arial"/>
          <w:bdr w:val="nil"/>
        </w:rPr>
      </w:pPr>
      <w:r w:rsidRPr="00D76FFE">
        <w:rPr>
          <w:rFonts w:cs="Arial"/>
          <w:bdr w:val="nil"/>
        </w:rPr>
        <w:t>Nossa auditoria foi conduzida de acordo com as normas brasileiras e internacionais de auditoria. Nossas responsabilidades, em conformidade com tais normas, estão descritas na seção a seguir intitulada “Responsabilidades do auditor pela auditoria das demonstrações contábeis”. Somos independentes em relação a Ativos S.A., de acordo com os princípios éticos relevantes previstos no Código de Ética Profissional do Contador e nas normas profissionais emitidas pelo Conselho Federal de Contabilidade - CFC, e cumprimos com as demais responsabilidades éticas de acordo com essas normas. Acreditamos que a evidência de auditoria obtida é suficiente e apropriada para fundamentar nossa opinião.</w:t>
      </w:r>
    </w:p>
    <w:p w:rsidR="00D76FFE" w:rsidRPr="00D76FFE" w:rsidRDefault="00A82039" w:rsidP="00D76FFE">
      <w:pPr>
        <w:keepLines/>
        <w:widowControl w:val="0"/>
        <w:pBdr>
          <w:top w:val="nil"/>
          <w:left w:val="nil"/>
          <w:bottom w:val="nil"/>
          <w:right w:val="nil"/>
          <w:between w:val="nil"/>
          <w:bar w:val="nil"/>
        </w:pBdr>
        <w:spacing w:before="0" w:after="200" w:line="240" w:lineRule="auto"/>
        <w:jc w:val="left"/>
        <w:rPr>
          <w:rFonts w:cs="Arial"/>
          <w:b/>
          <w:bdr w:val="nil"/>
        </w:rPr>
      </w:pPr>
      <w:r w:rsidRPr="00D76FFE">
        <w:rPr>
          <w:rFonts w:cs="Arial"/>
          <w:b/>
          <w:bdr w:val="nil"/>
        </w:rPr>
        <w:t>Outros assuntos</w:t>
      </w:r>
    </w:p>
    <w:p w:rsidR="00D76FFE" w:rsidRPr="00D76FFE" w:rsidRDefault="00A82039" w:rsidP="00D76FFE">
      <w:pPr>
        <w:keepLines/>
        <w:pBdr>
          <w:top w:val="nil"/>
          <w:left w:val="nil"/>
          <w:bottom w:val="nil"/>
          <w:right w:val="nil"/>
          <w:between w:val="nil"/>
          <w:bar w:val="nil"/>
        </w:pBdr>
        <w:autoSpaceDE w:val="0"/>
        <w:autoSpaceDN w:val="0"/>
        <w:spacing w:before="0" w:after="200" w:line="240" w:lineRule="auto"/>
        <w:jc w:val="left"/>
        <w:rPr>
          <w:rFonts w:cs="Arial"/>
          <w:i/>
          <w:kern w:val="8"/>
          <w:bdr w:val="nil"/>
        </w:rPr>
      </w:pPr>
      <w:r w:rsidRPr="00D76FFE">
        <w:rPr>
          <w:rFonts w:cs="Arial"/>
          <w:i/>
          <w:kern w:val="8"/>
          <w:bdr w:val="nil"/>
        </w:rPr>
        <w:t>Auditoria dos valores correspondentes ao exercício anterior findo em 31 de dezembro de 2018</w:t>
      </w:r>
    </w:p>
    <w:p w:rsidR="00D76FFE" w:rsidRPr="00D76FFE" w:rsidRDefault="00A82039" w:rsidP="00D76FFE">
      <w:pPr>
        <w:keepLines/>
        <w:pBdr>
          <w:top w:val="nil"/>
          <w:left w:val="nil"/>
          <w:bottom w:val="nil"/>
          <w:right w:val="nil"/>
          <w:between w:val="nil"/>
          <w:bar w:val="nil"/>
        </w:pBdr>
        <w:spacing w:before="0" w:after="200" w:line="240" w:lineRule="auto"/>
        <w:rPr>
          <w:rFonts w:cs="Arial"/>
          <w:kern w:val="8"/>
          <w:bdr w:val="nil"/>
        </w:rPr>
      </w:pPr>
      <w:r w:rsidRPr="00D76FFE">
        <w:rPr>
          <w:rFonts w:cs="Arial"/>
          <w:kern w:val="8"/>
          <w:bdr w:val="nil"/>
        </w:rPr>
        <w:t xml:space="preserve">Os valores correspondentes ao exercício findo em 31 de dezembro de 2018, apresentados para fins de comparação, foram examinados por </w:t>
      </w:r>
      <w:r w:rsidRPr="00D76FFE">
        <w:rPr>
          <w:rFonts w:cs="Arial"/>
          <w:spacing w:val="-4"/>
          <w:kern w:val="8"/>
          <w:bdr w:val="nil"/>
        </w:rPr>
        <w:t>outros auditores independentes, que emitiram</w:t>
      </w:r>
      <w:r w:rsidRPr="00D76FFE">
        <w:rPr>
          <w:rFonts w:cs="Arial"/>
          <w:kern w:val="8"/>
          <w:bdr w:val="nil"/>
        </w:rPr>
        <w:t xml:space="preserve"> relatório datado de 27 de fevereiro de 2019, sem modificações.</w:t>
      </w:r>
    </w:p>
    <w:p w:rsidR="00D76FFE" w:rsidRPr="00D76FFE" w:rsidRDefault="00A82039" w:rsidP="00D76FFE">
      <w:pPr>
        <w:keepLines/>
        <w:widowControl w:val="0"/>
        <w:pBdr>
          <w:top w:val="nil"/>
          <w:left w:val="nil"/>
          <w:bottom w:val="nil"/>
          <w:right w:val="nil"/>
          <w:between w:val="nil"/>
          <w:bar w:val="nil"/>
        </w:pBdr>
        <w:spacing w:before="0" w:after="200" w:line="240" w:lineRule="auto"/>
        <w:jc w:val="left"/>
        <w:rPr>
          <w:rFonts w:cs="Arial"/>
          <w:i/>
          <w:bdr w:val="nil"/>
        </w:rPr>
      </w:pPr>
      <w:r w:rsidRPr="00D76FFE">
        <w:rPr>
          <w:rFonts w:cs="Arial"/>
          <w:i/>
          <w:bdr w:val="nil"/>
        </w:rPr>
        <w:t>Demonstração do valor adicionado</w:t>
      </w:r>
    </w:p>
    <w:p w:rsidR="00D76FFE" w:rsidRPr="00D76FFE" w:rsidRDefault="00A82039" w:rsidP="00D76FFE">
      <w:pPr>
        <w:keepLines/>
        <w:pBdr>
          <w:top w:val="nil"/>
          <w:left w:val="nil"/>
          <w:bottom w:val="nil"/>
          <w:right w:val="nil"/>
          <w:between w:val="nil"/>
          <w:bar w:val="nil"/>
        </w:pBdr>
        <w:spacing w:before="0" w:after="200" w:line="240" w:lineRule="auto"/>
        <w:rPr>
          <w:rFonts w:cs="Arial"/>
          <w:b/>
          <w:bCs/>
          <w:bdr w:val="nil"/>
        </w:rPr>
      </w:pPr>
      <w:r w:rsidRPr="00D76FFE">
        <w:rPr>
          <w:rFonts w:eastAsia="Calibri" w:cs="Arial"/>
          <w:bdr w:val="nil"/>
        </w:rPr>
        <w:t xml:space="preserve">As demonstrações contábeis anteriormente referidas incluem a demonstração do valor adicionado - DVA, referente ao exercício findo em 31 de dezembro de 2019, elaboradas sob a responsabilidade da Administração da Ativos S.A., cuja apresentação está sendo realizada de forma voluntária, foi submetida a procedimentos de auditoria executados em conjunto com a auditoria das demonstrações contábeis. Para formação de nossa opinião, avaliamos se essa demonstração está conciliada com as demonstrações contábeis e os registros contábeis, conforme aplicável, e se sua forma e o seu conteúdo estão de acordo com os critérios definidos no pronunciamento técnico CPC 09 – Demonstração do Valor Adicionado. </w:t>
      </w:r>
      <w:r w:rsidRPr="00D76FFE">
        <w:rPr>
          <w:rFonts w:cs="Arial"/>
          <w:color w:val="000000"/>
          <w:bdr w:val="nil"/>
        </w:rPr>
        <w:t>Em nossa opinião, essa DVA foi adequadamente elaborada, em todos os aspectos relevantes, segundo os critérios definidos nesse pronunciamento técnico e é consistente em relação às demonstrações contábeis tomadas em conjunto.</w:t>
      </w:r>
    </w:p>
    <w:p w:rsidR="00D76FFE" w:rsidRPr="00D76FFE" w:rsidRDefault="00A82039" w:rsidP="00D76FFE">
      <w:pPr>
        <w:pStyle w:val="Corpodetexto"/>
        <w:keepLines/>
        <w:pBdr>
          <w:top w:val="nil"/>
          <w:left w:val="nil"/>
          <w:bottom w:val="nil"/>
          <w:right w:val="nil"/>
          <w:between w:val="nil"/>
          <w:bar w:val="nil"/>
        </w:pBdr>
        <w:spacing w:after="200"/>
        <w:ind w:left="0"/>
        <w:rPr>
          <w:rFonts w:ascii="Arial" w:hAnsi="Arial" w:cs="Arial"/>
          <w:b/>
          <w:sz w:val="18"/>
          <w:szCs w:val="18"/>
          <w:bdr w:val="nil"/>
          <w:lang w:val="pt-BR"/>
        </w:rPr>
      </w:pPr>
      <w:r w:rsidRPr="00D76FFE">
        <w:rPr>
          <w:rFonts w:ascii="Arial" w:hAnsi="Arial" w:cs="Arial"/>
          <w:b/>
          <w:sz w:val="18"/>
          <w:szCs w:val="18"/>
          <w:bdr w:val="nil"/>
          <w:lang w:val="pt-BR"/>
        </w:rPr>
        <w:t xml:space="preserve">Outras informações que acompanham as demonstrações contábeis e o relatório do auditor </w:t>
      </w:r>
    </w:p>
    <w:p w:rsidR="00D76FFE" w:rsidRPr="00D76FFE" w:rsidRDefault="00A82039" w:rsidP="00D76FFE">
      <w:pPr>
        <w:pStyle w:val="Corpodetexto"/>
        <w:keepLines/>
        <w:pBdr>
          <w:top w:val="nil"/>
          <w:left w:val="nil"/>
          <w:bottom w:val="nil"/>
          <w:right w:val="nil"/>
          <w:between w:val="nil"/>
          <w:bar w:val="nil"/>
        </w:pBdr>
        <w:spacing w:after="200"/>
        <w:ind w:left="0"/>
        <w:jc w:val="both"/>
        <w:rPr>
          <w:rFonts w:ascii="Arial" w:hAnsi="Arial" w:cs="Arial"/>
          <w:sz w:val="18"/>
          <w:szCs w:val="18"/>
          <w:bdr w:val="nil"/>
          <w:lang w:val="pt-BR"/>
        </w:rPr>
      </w:pPr>
      <w:r w:rsidRPr="00D76FFE">
        <w:rPr>
          <w:rFonts w:ascii="Arial" w:hAnsi="Arial" w:cs="Arial"/>
          <w:sz w:val="18"/>
          <w:szCs w:val="18"/>
          <w:bdr w:val="nil"/>
          <w:lang w:val="pt-BR"/>
        </w:rPr>
        <w:t>A Administração da Ativos S.A. é responsável por essas outras informações que compreendem o Relatório da Administração.</w:t>
      </w:r>
    </w:p>
    <w:p w:rsidR="00D76FFE" w:rsidRPr="00D76FFE" w:rsidRDefault="00A82039" w:rsidP="00D76FFE">
      <w:pPr>
        <w:pStyle w:val="Corpodetexto"/>
        <w:keepLines/>
        <w:pBdr>
          <w:top w:val="nil"/>
          <w:left w:val="nil"/>
          <w:bottom w:val="nil"/>
          <w:right w:val="nil"/>
          <w:between w:val="nil"/>
          <w:bar w:val="nil"/>
        </w:pBdr>
        <w:spacing w:after="200"/>
        <w:ind w:left="0"/>
        <w:jc w:val="both"/>
        <w:rPr>
          <w:rFonts w:ascii="Arial" w:hAnsi="Arial" w:cs="Arial"/>
          <w:sz w:val="18"/>
          <w:szCs w:val="18"/>
          <w:bdr w:val="nil"/>
          <w:lang w:val="pt-BR"/>
        </w:rPr>
      </w:pPr>
      <w:r w:rsidRPr="00D76FFE">
        <w:rPr>
          <w:rFonts w:ascii="Arial" w:hAnsi="Arial" w:cs="Arial"/>
          <w:sz w:val="18"/>
          <w:szCs w:val="18"/>
          <w:bdr w:val="nil"/>
          <w:lang w:val="pt-BR"/>
        </w:rPr>
        <w:t>Nossa opinião sobre as demonstrações contábeis não abrange o Relatório da Administração e não expressamos qualquer forma de conclusão de auditoria sobre esse relatório.</w:t>
      </w:r>
    </w:p>
    <w:p w:rsidR="00D76FFE" w:rsidRPr="00D76FFE" w:rsidRDefault="00A82039" w:rsidP="00D76FFE">
      <w:pPr>
        <w:pStyle w:val="Corpodetexto"/>
        <w:keepLines/>
        <w:pBdr>
          <w:top w:val="nil"/>
          <w:left w:val="nil"/>
          <w:bottom w:val="nil"/>
          <w:right w:val="nil"/>
          <w:between w:val="nil"/>
          <w:bar w:val="nil"/>
        </w:pBdr>
        <w:spacing w:after="200"/>
        <w:ind w:left="0"/>
        <w:jc w:val="both"/>
        <w:rPr>
          <w:rFonts w:ascii="Arial" w:hAnsi="Arial" w:cs="Arial"/>
          <w:sz w:val="18"/>
          <w:szCs w:val="18"/>
          <w:bdr w:val="nil"/>
          <w:lang w:val="pt-BR"/>
        </w:rPr>
      </w:pPr>
      <w:r w:rsidRPr="00D76FFE">
        <w:rPr>
          <w:rFonts w:ascii="Arial" w:hAnsi="Arial" w:cs="Arial"/>
          <w:sz w:val="18"/>
          <w:szCs w:val="18"/>
          <w:bdr w:val="nil"/>
          <w:lang w:val="pt-BR"/>
        </w:rPr>
        <w:t>Em conexão com a auditoria das demonstrações contábeis, nossa responsabilidade é a de ler o Relatório da Administração e, ao fazê-lo, considerar se esse relatório está, de forma relevante, inconsistente com as demonstrações contábeis ou com nosso conhecimento obtido na auditoria ou, de outra forma, aparenta estar distorcido de forma relevante. Se, com base no trabalho realizado, concluirmos que há distorção relevante no Relatório da Administração, somos requeridos a comunicar esse fato. Não temos nada a relatar a este respeito.</w:t>
      </w:r>
    </w:p>
    <w:p w:rsidR="00D76FFE" w:rsidRPr="00D76FFE" w:rsidRDefault="00A82039" w:rsidP="00D76FFE">
      <w:pPr>
        <w:keepLines/>
        <w:pBdr>
          <w:top w:val="nil"/>
          <w:left w:val="nil"/>
          <w:bottom w:val="nil"/>
          <w:right w:val="nil"/>
          <w:between w:val="nil"/>
          <w:bar w:val="nil"/>
        </w:pBdr>
        <w:spacing w:before="0" w:after="200" w:line="240" w:lineRule="auto"/>
        <w:jc w:val="left"/>
        <w:rPr>
          <w:rFonts w:cs="Arial"/>
          <w:b/>
          <w:bdr w:val="nil"/>
        </w:rPr>
      </w:pPr>
      <w:r w:rsidRPr="00D76FFE">
        <w:rPr>
          <w:rFonts w:cs="Arial"/>
          <w:b/>
          <w:bdr w:val="nil"/>
        </w:rPr>
        <w:t>Responsabilidades da Administração e da Governança pelas demonstrações contábeis</w:t>
      </w:r>
    </w:p>
    <w:p w:rsidR="00D76FFE" w:rsidRPr="00D76FFE" w:rsidRDefault="00A82039" w:rsidP="00D76FFE">
      <w:pPr>
        <w:pStyle w:val="Corpodetexto"/>
        <w:keepLines/>
        <w:pBdr>
          <w:top w:val="nil"/>
          <w:left w:val="nil"/>
          <w:bottom w:val="nil"/>
          <w:right w:val="nil"/>
          <w:between w:val="nil"/>
          <w:bar w:val="nil"/>
        </w:pBdr>
        <w:spacing w:after="200"/>
        <w:ind w:left="0"/>
        <w:jc w:val="both"/>
        <w:rPr>
          <w:rFonts w:ascii="Arial" w:hAnsi="Arial" w:cs="Arial"/>
          <w:sz w:val="18"/>
          <w:szCs w:val="18"/>
          <w:bdr w:val="nil"/>
          <w:lang w:val="pt-BR"/>
        </w:rPr>
      </w:pPr>
      <w:r w:rsidRPr="00D76FFE">
        <w:rPr>
          <w:rFonts w:ascii="Arial" w:hAnsi="Arial" w:cs="Arial"/>
          <w:sz w:val="18"/>
          <w:szCs w:val="18"/>
          <w:bdr w:val="nil"/>
          <w:lang w:val="pt-BR"/>
        </w:rPr>
        <w:t>A Administração é responsável pela elaboração e adequada apresentação das demonstrações contábeis de acordo com as práticas contábeis adotadas no Brasil, e pelos controles internos que ela determinou como necessários para permitir a elaboração de demonstrações contábeis livres de distorção relevante, independentemente se causada por fraude ou erro.</w:t>
      </w:r>
    </w:p>
    <w:p w:rsidR="00D76FFE" w:rsidRPr="00D76FFE" w:rsidRDefault="00A82039" w:rsidP="00D76FFE">
      <w:pPr>
        <w:pStyle w:val="Corpodetexto"/>
        <w:keepLines/>
        <w:pBdr>
          <w:top w:val="nil"/>
          <w:left w:val="nil"/>
          <w:bottom w:val="nil"/>
          <w:right w:val="nil"/>
          <w:between w:val="nil"/>
          <w:bar w:val="nil"/>
        </w:pBdr>
        <w:spacing w:after="200"/>
        <w:ind w:left="0"/>
        <w:jc w:val="both"/>
        <w:rPr>
          <w:rFonts w:ascii="Arial" w:hAnsi="Arial" w:cs="Arial"/>
          <w:sz w:val="18"/>
          <w:szCs w:val="18"/>
          <w:bdr w:val="nil"/>
          <w:lang w:val="pt-BR"/>
        </w:rPr>
      </w:pPr>
      <w:r w:rsidRPr="00D76FFE">
        <w:rPr>
          <w:rFonts w:ascii="Arial" w:hAnsi="Arial" w:cs="Arial"/>
          <w:sz w:val="18"/>
          <w:szCs w:val="18"/>
          <w:bdr w:val="nil"/>
          <w:lang w:val="pt-BR"/>
        </w:rPr>
        <w:lastRenderedPageBreak/>
        <w:t>Na elaboração das demonstrações contábeis, a Administração é responsável pela avaliação da capacidade da Ativos S.A. continuar operando e divulgando, quando aplicável, os assuntos relacionados com a sua continuidade operacional e o uso dessa base contábil na elaboração das demonstrações contábeis, a não ser que a Administração pretenda liquidar a Ativos S.A. ou cessar suas operações, ou não tenha nenhuma alternativa realista para evitar o encerramento das operações.</w:t>
      </w:r>
    </w:p>
    <w:p w:rsidR="00D76FFE" w:rsidRDefault="00A82039" w:rsidP="00D76FFE">
      <w:pPr>
        <w:pStyle w:val="Corpodetexto"/>
        <w:keepLines/>
        <w:pBdr>
          <w:top w:val="nil"/>
          <w:left w:val="nil"/>
          <w:bottom w:val="nil"/>
          <w:right w:val="nil"/>
          <w:between w:val="nil"/>
          <w:bar w:val="nil"/>
        </w:pBdr>
        <w:spacing w:after="200"/>
        <w:ind w:left="0"/>
        <w:jc w:val="both"/>
        <w:rPr>
          <w:rFonts w:ascii="Arial" w:hAnsi="Arial" w:cs="Arial"/>
          <w:sz w:val="18"/>
          <w:szCs w:val="18"/>
          <w:bdr w:val="nil"/>
          <w:lang w:val="pt-BR"/>
        </w:rPr>
      </w:pPr>
      <w:r w:rsidRPr="00D76FFE">
        <w:rPr>
          <w:rFonts w:ascii="Arial" w:hAnsi="Arial" w:cs="Arial"/>
          <w:sz w:val="18"/>
          <w:szCs w:val="18"/>
          <w:bdr w:val="nil"/>
          <w:lang w:val="pt-BR"/>
        </w:rPr>
        <w:t>Os responsáveis pela governança da Ativos S.A. são aqueles com responsabilidade pela supervisão do processo de elaboração das demonstrações contábeis.</w:t>
      </w:r>
    </w:p>
    <w:p w:rsidR="00D76FFE" w:rsidRPr="00D76FFE" w:rsidRDefault="00D76FFE" w:rsidP="00D76FFE">
      <w:pPr>
        <w:pStyle w:val="Corpodetexto"/>
        <w:keepLines/>
        <w:pBdr>
          <w:top w:val="nil"/>
          <w:left w:val="nil"/>
          <w:bottom w:val="nil"/>
          <w:right w:val="nil"/>
          <w:between w:val="nil"/>
          <w:bar w:val="nil"/>
        </w:pBdr>
        <w:spacing w:after="200"/>
        <w:ind w:left="0"/>
        <w:jc w:val="both"/>
        <w:rPr>
          <w:rFonts w:ascii="Arial" w:hAnsi="Arial" w:cs="Arial"/>
          <w:sz w:val="18"/>
          <w:szCs w:val="18"/>
          <w:bdr w:val="nil"/>
          <w:lang w:val="pt-BR"/>
        </w:rPr>
      </w:pPr>
    </w:p>
    <w:p w:rsidR="00D76FFE" w:rsidRPr="00D76FFE" w:rsidRDefault="00A82039" w:rsidP="00D76FFE">
      <w:pPr>
        <w:keepLines/>
        <w:pBdr>
          <w:top w:val="nil"/>
          <w:left w:val="nil"/>
          <w:bottom w:val="nil"/>
          <w:right w:val="nil"/>
          <w:between w:val="nil"/>
          <w:bar w:val="nil"/>
        </w:pBdr>
        <w:spacing w:before="0" w:after="200" w:line="240" w:lineRule="auto"/>
        <w:jc w:val="left"/>
        <w:rPr>
          <w:rFonts w:cs="Arial"/>
          <w:b/>
          <w:bdr w:val="nil"/>
        </w:rPr>
      </w:pPr>
      <w:r w:rsidRPr="00D76FFE">
        <w:rPr>
          <w:rFonts w:cs="Arial"/>
          <w:b/>
          <w:bdr w:val="nil"/>
        </w:rPr>
        <w:t>Responsabilidades do auditor pela auditoria das demonstrações contábeis</w:t>
      </w:r>
    </w:p>
    <w:p w:rsidR="00D76FFE" w:rsidRPr="00D76FFE" w:rsidRDefault="00A82039" w:rsidP="00D76FFE">
      <w:pPr>
        <w:pStyle w:val="Corpodetexto"/>
        <w:keepLines/>
        <w:pBdr>
          <w:top w:val="nil"/>
          <w:left w:val="nil"/>
          <w:bottom w:val="nil"/>
          <w:right w:val="nil"/>
          <w:between w:val="nil"/>
          <w:bar w:val="nil"/>
        </w:pBdr>
        <w:spacing w:after="200"/>
        <w:ind w:left="0" w:hanging="11"/>
        <w:jc w:val="both"/>
        <w:rPr>
          <w:rFonts w:ascii="Arial" w:hAnsi="Arial" w:cs="Arial"/>
          <w:sz w:val="18"/>
          <w:szCs w:val="18"/>
          <w:bdr w:val="nil"/>
          <w:lang w:val="pt-BR"/>
        </w:rPr>
      </w:pPr>
      <w:r w:rsidRPr="00D76FFE">
        <w:rPr>
          <w:rFonts w:ascii="Arial" w:hAnsi="Arial" w:cs="Arial"/>
          <w:sz w:val="18"/>
          <w:szCs w:val="18"/>
          <w:bdr w:val="nil"/>
          <w:lang w:val="pt-BR"/>
        </w:rPr>
        <w:t>Nossos objetivos são obter segurança razoável de que as demonstrações contábeis, tomadas em conjunto, estão livres de distorção relevante, independentemente se causada por fraude ou erro, e emitir relatório de auditoria contendo nossa opinião. Segurança razoável é um alto nível de segurança, mas não uma garantia de que a auditoria realizada de acordo com as normas brasileiras e internacionais de auditoria sempre detectam as eventuais distorções relevantes existentes. As distorções podem ser decorrentes de fraude ou erro e são consideradas relevantes quando, individualmente ou em conjunto, possam influenciar, dentro de uma perspectiva razoável, as decisões econômicas dos usuários tomadas com base nas referidas demonstrações contábeis.</w:t>
      </w:r>
    </w:p>
    <w:p w:rsidR="00D76FFE" w:rsidRPr="00D76FFE" w:rsidRDefault="00A82039" w:rsidP="00D76FFE">
      <w:pPr>
        <w:pStyle w:val="Corpodetexto"/>
        <w:keepLines/>
        <w:pBdr>
          <w:top w:val="nil"/>
          <w:left w:val="nil"/>
          <w:bottom w:val="nil"/>
          <w:right w:val="nil"/>
          <w:between w:val="nil"/>
          <w:bar w:val="nil"/>
        </w:pBdr>
        <w:spacing w:after="200"/>
        <w:ind w:left="0"/>
        <w:rPr>
          <w:rFonts w:ascii="Arial" w:hAnsi="Arial" w:cs="Arial"/>
          <w:sz w:val="18"/>
          <w:szCs w:val="18"/>
          <w:bdr w:val="nil"/>
          <w:lang w:val="pt-BR"/>
        </w:rPr>
      </w:pPr>
      <w:r w:rsidRPr="00D76FFE">
        <w:rPr>
          <w:rFonts w:ascii="Arial" w:hAnsi="Arial" w:cs="Arial"/>
          <w:sz w:val="18"/>
          <w:szCs w:val="18"/>
          <w:bdr w:val="nil"/>
          <w:lang w:val="pt-BR"/>
        </w:rPr>
        <w:t>Como parte da auditoria realizada de acordo com as normas brasileiras e internacionais de auditoria, exercemos julgamento profissional e mantemos ceticismo profissional ao longo da auditoria. Além disso:</w:t>
      </w:r>
    </w:p>
    <w:p w:rsidR="00D76FFE" w:rsidRPr="00D76FFE" w:rsidRDefault="00A82039" w:rsidP="00D76FFE">
      <w:pPr>
        <w:pStyle w:val="PargrafodaLista"/>
        <w:keepLines/>
        <w:widowControl w:val="0"/>
        <w:numPr>
          <w:ilvl w:val="0"/>
          <w:numId w:val="19"/>
        </w:numPr>
        <w:pBdr>
          <w:top w:val="nil"/>
          <w:left w:val="nil"/>
          <w:bottom w:val="nil"/>
          <w:right w:val="nil"/>
          <w:between w:val="nil"/>
          <w:bar w:val="nil"/>
        </w:pBdr>
        <w:spacing w:after="160" w:line="240" w:lineRule="auto"/>
        <w:ind w:left="284" w:hanging="284"/>
        <w:contextualSpacing w:val="0"/>
        <w:jc w:val="both"/>
        <w:rPr>
          <w:rFonts w:ascii="Arial" w:hAnsi="Arial" w:cs="Arial"/>
          <w:iCs/>
          <w:sz w:val="18"/>
          <w:szCs w:val="18"/>
          <w:bdr w:val="nil"/>
        </w:rPr>
      </w:pPr>
      <w:r w:rsidRPr="00D76FFE">
        <w:rPr>
          <w:rFonts w:ascii="Arial" w:hAnsi="Arial" w:cs="Arial"/>
          <w:iCs/>
          <w:sz w:val="18"/>
          <w:szCs w:val="18"/>
          <w:bdr w:val="nil"/>
          <w:lang w:val="en-US"/>
        </w:rPr>
        <w:t>Identificamos e avaliamos os riscos de distorção relevante nas demonstrações contábeis, independentemente se causada por fraude ou erro, planejamos e executamos procedimentos de auditoria em resposta a tais riscos, bem como obtemos evidência de auditoria apropriada e suficiente para fundamentar nossa opinião. O risco de não detecção de distorção relevante resultante de fraude é maior do que o proveniente de erro, já que a fraude pode envolver o ato de burlar os controles internos, conluio, falsificação, omissão ou representações falsas intencionais.</w:t>
      </w:r>
    </w:p>
    <w:p w:rsidR="00D76FFE" w:rsidRPr="00D76FFE" w:rsidRDefault="00A82039" w:rsidP="00D76FFE">
      <w:pPr>
        <w:pStyle w:val="PargrafodaLista"/>
        <w:keepLines/>
        <w:widowControl w:val="0"/>
        <w:numPr>
          <w:ilvl w:val="0"/>
          <w:numId w:val="19"/>
        </w:numPr>
        <w:pBdr>
          <w:top w:val="nil"/>
          <w:left w:val="nil"/>
          <w:bottom w:val="nil"/>
          <w:right w:val="nil"/>
          <w:between w:val="nil"/>
          <w:bar w:val="nil"/>
        </w:pBdr>
        <w:spacing w:line="240" w:lineRule="auto"/>
        <w:ind w:left="284" w:hanging="284"/>
        <w:contextualSpacing w:val="0"/>
        <w:jc w:val="both"/>
        <w:rPr>
          <w:rFonts w:ascii="Arial" w:hAnsi="Arial" w:cs="Arial"/>
          <w:iCs/>
          <w:sz w:val="18"/>
          <w:szCs w:val="18"/>
          <w:bdr w:val="nil"/>
        </w:rPr>
      </w:pPr>
      <w:r w:rsidRPr="00D76FFE">
        <w:rPr>
          <w:rFonts w:ascii="Arial" w:hAnsi="Arial" w:cs="Arial"/>
          <w:iCs/>
          <w:sz w:val="18"/>
          <w:szCs w:val="18"/>
          <w:bdr w:val="nil"/>
          <w:lang w:val="en-US"/>
        </w:rPr>
        <w:t>Obtemos entendimento dos controles internos relevantes para a auditoria para planejarmos procedimentos de auditoria apropriados às circunstâncias, mas não com o objetivo de expressarmos opinião sobre a eficácia dos controles internos da Ativos S.A.</w:t>
      </w:r>
    </w:p>
    <w:p w:rsidR="00D76FFE" w:rsidRPr="00D76FFE" w:rsidRDefault="00A82039" w:rsidP="00D76FFE">
      <w:pPr>
        <w:pStyle w:val="PargrafodaLista"/>
        <w:keepLines/>
        <w:widowControl w:val="0"/>
        <w:numPr>
          <w:ilvl w:val="0"/>
          <w:numId w:val="19"/>
        </w:numPr>
        <w:pBdr>
          <w:top w:val="nil"/>
          <w:left w:val="nil"/>
          <w:bottom w:val="nil"/>
          <w:right w:val="nil"/>
          <w:between w:val="nil"/>
          <w:bar w:val="nil"/>
        </w:pBdr>
        <w:spacing w:line="240" w:lineRule="auto"/>
        <w:ind w:left="284" w:hanging="284"/>
        <w:contextualSpacing w:val="0"/>
        <w:jc w:val="both"/>
        <w:rPr>
          <w:rFonts w:ascii="Arial" w:hAnsi="Arial" w:cs="Arial"/>
          <w:iCs/>
          <w:sz w:val="18"/>
          <w:szCs w:val="18"/>
          <w:bdr w:val="nil"/>
        </w:rPr>
      </w:pPr>
      <w:r w:rsidRPr="00D76FFE">
        <w:rPr>
          <w:rFonts w:ascii="Arial" w:hAnsi="Arial" w:cs="Arial"/>
          <w:iCs/>
          <w:sz w:val="18"/>
          <w:szCs w:val="18"/>
          <w:bdr w:val="nil"/>
          <w:lang w:val="en-US"/>
        </w:rPr>
        <w:t>Avaliamos a adequação das políticas contábeis utilizadas, a razoabilidade das estimativas contábeis e respectivas divulgações feitas pela Administração.</w:t>
      </w:r>
    </w:p>
    <w:p w:rsidR="00D76FFE" w:rsidRPr="00D76FFE" w:rsidRDefault="00A82039" w:rsidP="00D76FFE">
      <w:pPr>
        <w:pStyle w:val="PargrafodaLista"/>
        <w:keepLines/>
        <w:widowControl w:val="0"/>
        <w:numPr>
          <w:ilvl w:val="0"/>
          <w:numId w:val="19"/>
        </w:numPr>
        <w:pBdr>
          <w:top w:val="nil"/>
          <w:left w:val="nil"/>
          <w:bottom w:val="nil"/>
          <w:right w:val="nil"/>
          <w:between w:val="nil"/>
          <w:bar w:val="nil"/>
        </w:pBdr>
        <w:spacing w:line="240" w:lineRule="auto"/>
        <w:ind w:left="284" w:hanging="284"/>
        <w:contextualSpacing w:val="0"/>
        <w:jc w:val="both"/>
        <w:rPr>
          <w:rFonts w:ascii="Arial" w:hAnsi="Arial" w:cs="Arial"/>
          <w:iCs/>
          <w:sz w:val="18"/>
          <w:szCs w:val="18"/>
          <w:bdr w:val="nil"/>
        </w:rPr>
      </w:pPr>
      <w:r w:rsidRPr="00D76FFE">
        <w:rPr>
          <w:rFonts w:ascii="Arial" w:hAnsi="Arial" w:cs="Arial"/>
          <w:iCs/>
          <w:sz w:val="18"/>
          <w:szCs w:val="18"/>
          <w:bdr w:val="nil"/>
          <w:lang w:val="en-US"/>
        </w:rPr>
        <w:t xml:space="preserve">Concluímos sobre a adequação do uso, pela Administração, da base contábil de continuidade operacional e, com base nas evidências de auditoria obtidas, se existe incerteza relevante em relação a eventos ou condições que possam levantar dúvida significativa em relação à capacidade de continuidade operacional da Ativos S.A. Se concluirmos que existe incerteza relevante, devemos chamar atenção em nosso relatório de auditoria para as respectivas divulgações nas demonstrações contábeis ou incluir modificação em nossa opinião, se as divulgações forem inadequadas. Nossas conclusões estão fundamentadas nas evidências de auditoria obtidas até a data de nosso relatório. Todavia, eventos ou condições futuras podem levar a Ativos S.A. a não mais se manter em continuidade operacional. </w:t>
      </w:r>
    </w:p>
    <w:p w:rsidR="00D76FFE" w:rsidRPr="00D76FFE" w:rsidRDefault="00A82039" w:rsidP="00D76FFE">
      <w:pPr>
        <w:pStyle w:val="PargrafodaLista"/>
        <w:keepLines/>
        <w:widowControl w:val="0"/>
        <w:numPr>
          <w:ilvl w:val="0"/>
          <w:numId w:val="19"/>
        </w:numPr>
        <w:pBdr>
          <w:top w:val="nil"/>
          <w:left w:val="nil"/>
          <w:bottom w:val="nil"/>
          <w:right w:val="nil"/>
          <w:between w:val="nil"/>
          <w:bar w:val="nil"/>
        </w:pBdr>
        <w:spacing w:line="240" w:lineRule="auto"/>
        <w:ind w:left="284" w:hanging="284"/>
        <w:contextualSpacing w:val="0"/>
        <w:jc w:val="both"/>
        <w:rPr>
          <w:rFonts w:ascii="Arial" w:hAnsi="Arial" w:cs="Arial"/>
          <w:iCs/>
          <w:sz w:val="18"/>
          <w:szCs w:val="18"/>
          <w:bdr w:val="nil"/>
        </w:rPr>
      </w:pPr>
      <w:r w:rsidRPr="00D76FFE">
        <w:rPr>
          <w:rFonts w:ascii="Arial" w:hAnsi="Arial" w:cs="Arial"/>
          <w:iCs/>
          <w:sz w:val="18"/>
          <w:szCs w:val="18"/>
          <w:bdr w:val="nil"/>
          <w:lang w:val="en-US"/>
        </w:rPr>
        <w:t>Avaliamos a apresentação geral, a estrutura e o conteúdo das demonstrações contábeis, inclusive as divulgações e se as demonstrações contábeis representam as correspondentes transações e os eventos de maneira compatível com o objetivo de apresentação adequada.</w:t>
      </w:r>
    </w:p>
    <w:p w:rsidR="00D76FFE" w:rsidRPr="00D76FFE" w:rsidRDefault="00A82039" w:rsidP="00D76FFE">
      <w:pPr>
        <w:pStyle w:val="Corpodetexto"/>
        <w:keepLines/>
        <w:pBdr>
          <w:top w:val="nil"/>
          <w:left w:val="nil"/>
          <w:bottom w:val="nil"/>
          <w:right w:val="nil"/>
          <w:between w:val="nil"/>
          <w:bar w:val="nil"/>
        </w:pBdr>
        <w:spacing w:after="200"/>
        <w:ind w:left="0"/>
        <w:jc w:val="both"/>
        <w:rPr>
          <w:rFonts w:ascii="Arial" w:hAnsi="Arial" w:cs="Arial"/>
          <w:sz w:val="18"/>
          <w:szCs w:val="18"/>
          <w:bdr w:val="nil"/>
          <w:lang w:val="pt-BR"/>
        </w:rPr>
      </w:pPr>
      <w:r w:rsidRPr="00D76FFE">
        <w:rPr>
          <w:rFonts w:ascii="Arial" w:hAnsi="Arial" w:cs="Arial"/>
          <w:sz w:val="18"/>
          <w:szCs w:val="18"/>
          <w:bdr w:val="nil"/>
          <w:lang w:val="pt-BR"/>
        </w:rPr>
        <w:t xml:space="preserve">Comunicamo-nos com a Administração a respeito, entre outros aspectos, do alcance planejado, da época da auditoria e das constatações significativas de auditoria, inclusive as eventuais deficiências significativas nos controles internos que identificamos durante nossos trabalhos. </w:t>
      </w:r>
    </w:p>
    <w:p w:rsidR="00D76FFE" w:rsidRPr="00D76FFE" w:rsidRDefault="00A82039" w:rsidP="00D76FFE">
      <w:pPr>
        <w:keepLines/>
        <w:pBdr>
          <w:top w:val="nil"/>
          <w:left w:val="nil"/>
          <w:bottom w:val="nil"/>
          <w:right w:val="nil"/>
          <w:between w:val="nil"/>
          <w:bar w:val="nil"/>
        </w:pBdr>
        <w:spacing w:before="0" w:after="720" w:line="240" w:lineRule="auto"/>
        <w:jc w:val="left"/>
        <w:rPr>
          <w:rFonts w:cs="Arial"/>
          <w:bdr w:val="nil"/>
        </w:rPr>
      </w:pPr>
      <w:r w:rsidRPr="00D76FFE">
        <w:rPr>
          <w:rFonts w:cs="Arial"/>
          <w:bdr w:val="nil"/>
        </w:rPr>
        <w:t>Brasília, 21 de fevereiro de 2020</w:t>
      </w:r>
    </w:p>
    <w:tbl>
      <w:tblPr>
        <w:tblW w:w="9752" w:type="dxa"/>
        <w:tblLayout w:type="fixed"/>
        <w:tblCellMar>
          <w:left w:w="113" w:type="dxa"/>
          <w:right w:w="113" w:type="dxa"/>
        </w:tblCellMar>
        <w:tblLook w:val="0000" w:firstRow="0" w:lastRow="0" w:firstColumn="0" w:lastColumn="0" w:noHBand="0" w:noVBand="0"/>
      </w:tblPr>
      <w:tblGrid>
        <w:gridCol w:w="6679"/>
        <w:gridCol w:w="3073"/>
      </w:tblGrid>
      <w:tr w:rsidR="00566CE2" w:rsidTr="003A50F5">
        <w:tc>
          <w:tcPr>
            <w:tcW w:w="6679" w:type="dxa"/>
          </w:tcPr>
          <w:p w:rsidR="00D76FFE" w:rsidRPr="00D76FFE" w:rsidRDefault="00A82039" w:rsidP="003A50F5">
            <w:pPr>
              <w:pStyle w:val="Ttulo3"/>
              <w:keepNext w:val="0"/>
              <w:widowControl w:val="0"/>
              <w:pBdr>
                <w:top w:val="nil"/>
                <w:left w:val="nil"/>
                <w:bottom w:val="nil"/>
                <w:right w:val="nil"/>
                <w:between w:val="nil"/>
                <w:bar w:val="nil"/>
              </w:pBdr>
              <w:rPr>
                <w:rFonts w:ascii="Arial" w:eastAsia="Calibri" w:hAnsi="Arial" w:cs="Arial"/>
                <w:color w:val="000000"/>
                <w:sz w:val="18"/>
                <w:szCs w:val="18"/>
                <w:bdr w:val="nil"/>
              </w:rPr>
            </w:pPr>
            <w:r w:rsidRPr="00D76FFE">
              <w:rPr>
                <w:rFonts w:ascii="Arial" w:eastAsia="Calibri" w:hAnsi="Arial" w:cs="Arial"/>
                <w:color w:val="000000"/>
                <w:sz w:val="18"/>
                <w:szCs w:val="18"/>
                <w:bdr w:val="nil"/>
              </w:rPr>
              <w:t>DELOITTE TOUCHE TOHMATSU</w:t>
            </w:r>
          </w:p>
        </w:tc>
        <w:tc>
          <w:tcPr>
            <w:tcW w:w="3073" w:type="dxa"/>
          </w:tcPr>
          <w:p w:rsidR="00D76FFE" w:rsidRPr="00D76FFE" w:rsidRDefault="00A82039" w:rsidP="003A50F5">
            <w:pPr>
              <w:pStyle w:val="Ttulo3"/>
              <w:keepNext w:val="0"/>
              <w:widowControl w:val="0"/>
              <w:pBdr>
                <w:top w:val="nil"/>
                <w:left w:val="nil"/>
                <w:bottom w:val="nil"/>
                <w:right w:val="nil"/>
                <w:between w:val="nil"/>
                <w:bar w:val="nil"/>
              </w:pBdr>
              <w:rPr>
                <w:rFonts w:ascii="Arial" w:eastAsia="Calibri" w:hAnsi="Arial" w:cs="Arial"/>
                <w:color w:val="000000"/>
                <w:sz w:val="18"/>
                <w:szCs w:val="18"/>
                <w:bdr w:val="nil"/>
              </w:rPr>
            </w:pPr>
            <w:r w:rsidRPr="00D76FFE">
              <w:rPr>
                <w:rFonts w:ascii="Arial" w:eastAsia="Calibri" w:hAnsi="Arial" w:cs="Arial"/>
                <w:color w:val="000000"/>
                <w:sz w:val="18"/>
                <w:szCs w:val="18"/>
                <w:bdr w:val="nil"/>
              </w:rPr>
              <w:t>Luiz</w:t>
            </w:r>
            <w:r w:rsidRPr="00D76FFE">
              <w:rPr>
                <w:rFonts w:ascii="Arial" w:eastAsia="Calibri" w:hAnsi="Arial" w:cs="Arial"/>
                <w:color w:val="000000"/>
                <w:sz w:val="18"/>
                <w:szCs w:val="18"/>
                <w:bdr w:val="nil"/>
                <w:lang w:eastAsia="en-US"/>
              </w:rPr>
              <w:t xml:space="preserve"> </w:t>
            </w:r>
            <w:r w:rsidRPr="00D76FFE">
              <w:rPr>
                <w:rFonts w:ascii="Arial" w:eastAsia="Calibri" w:hAnsi="Arial" w:cs="Arial"/>
                <w:color w:val="000000"/>
                <w:sz w:val="18"/>
                <w:szCs w:val="18"/>
                <w:bdr w:val="nil"/>
              </w:rPr>
              <w:t>Carlos</w:t>
            </w:r>
            <w:r w:rsidRPr="00D76FFE">
              <w:rPr>
                <w:rFonts w:ascii="Arial" w:eastAsia="Calibri" w:hAnsi="Arial" w:cs="Arial"/>
                <w:color w:val="000000"/>
                <w:sz w:val="18"/>
                <w:szCs w:val="18"/>
                <w:bdr w:val="nil"/>
                <w:lang w:eastAsia="en-US"/>
              </w:rPr>
              <w:t xml:space="preserve"> </w:t>
            </w:r>
            <w:r w:rsidRPr="00D76FFE">
              <w:rPr>
                <w:rFonts w:ascii="Arial" w:eastAsia="Calibri" w:hAnsi="Arial" w:cs="Arial"/>
                <w:color w:val="000000"/>
                <w:sz w:val="18"/>
                <w:szCs w:val="18"/>
                <w:bdr w:val="nil"/>
              </w:rPr>
              <w:t>Oseliero</w:t>
            </w:r>
            <w:r w:rsidRPr="00D76FFE">
              <w:rPr>
                <w:rFonts w:ascii="Arial" w:eastAsia="Calibri" w:hAnsi="Arial" w:cs="Arial"/>
                <w:color w:val="000000"/>
                <w:sz w:val="18"/>
                <w:szCs w:val="18"/>
                <w:bdr w:val="nil"/>
                <w:lang w:eastAsia="en-US"/>
              </w:rPr>
              <w:t xml:space="preserve"> </w:t>
            </w:r>
            <w:r w:rsidRPr="00D76FFE">
              <w:rPr>
                <w:rFonts w:ascii="Arial" w:eastAsia="Calibri" w:hAnsi="Arial" w:cs="Arial"/>
                <w:color w:val="000000"/>
                <w:sz w:val="18"/>
                <w:szCs w:val="18"/>
                <w:bdr w:val="nil"/>
              </w:rPr>
              <w:t>Filho</w:t>
            </w:r>
          </w:p>
        </w:tc>
      </w:tr>
      <w:tr w:rsidR="00566CE2" w:rsidTr="003A50F5">
        <w:tc>
          <w:tcPr>
            <w:tcW w:w="6679" w:type="dxa"/>
            <w:shd w:val="clear" w:color="auto" w:fill="auto"/>
          </w:tcPr>
          <w:p w:rsidR="00D76FFE" w:rsidRPr="00D76FFE" w:rsidRDefault="00A82039" w:rsidP="003A50F5">
            <w:pPr>
              <w:pStyle w:val="Ttulo3"/>
              <w:keepNext w:val="0"/>
              <w:widowControl w:val="0"/>
              <w:pBdr>
                <w:top w:val="nil"/>
                <w:left w:val="nil"/>
                <w:bottom w:val="nil"/>
                <w:right w:val="nil"/>
                <w:between w:val="nil"/>
                <w:bar w:val="nil"/>
              </w:pBdr>
              <w:rPr>
                <w:rFonts w:ascii="Arial" w:eastAsia="Calibri" w:hAnsi="Arial" w:cs="Arial"/>
                <w:color w:val="000000"/>
                <w:sz w:val="18"/>
                <w:szCs w:val="18"/>
                <w:bdr w:val="nil"/>
              </w:rPr>
            </w:pPr>
            <w:r w:rsidRPr="00D76FFE">
              <w:rPr>
                <w:rFonts w:ascii="Arial" w:eastAsia="Calibri" w:hAnsi="Arial" w:cs="Arial"/>
                <w:color w:val="000000"/>
                <w:sz w:val="18"/>
                <w:szCs w:val="18"/>
                <w:bdr w:val="nil"/>
              </w:rPr>
              <w:t>Auditores Independentes</w:t>
            </w:r>
          </w:p>
        </w:tc>
        <w:tc>
          <w:tcPr>
            <w:tcW w:w="3073" w:type="dxa"/>
          </w:tcPr>
          <w:p w:rsidR="00D76FFE" w:rsidRPr="00D76FFE" w:rsidRDefault="00A82039" w:rsidP="003A50F5">
            <w:pPr>
              <w:pStyle w:val="Ttulo3"/>
              <w:keepNext w:val="0"/>
              <w:widowControl w:val="0"/>
              <w:pBdr>
                <w:top w:val="nil"/>
                <w:left w:val="nil"/>
                <w:bottom w:val="nil"/>
                <w:right w:val="nil"/>
                <w:between w:val="nil"/>
                <w:bar w:val="nil"/>
              </w:pBdr>
              <w:rPr>
                <w:rFonts w:ascii="Arial" w:eastAsia="Calibri" w:hAnsi="Arial" w:cs="Arial"/>
                <w:color w:val="000000"/>
                <w:sz w:val="18"/>
                <w:szCs w:val="18"/>
                <w:bdr w:val="nil"/>
              </w:rPr>
            </w:pPr>
            <w:r w:rsidRPr="00D76FFE">
              <w:rPr>
                <w:rFonts w:ascii="Arial" w:eastAsia="Calibri" w:hAnsi="Arial" w:cs="Arial"/>
                <w:color w:val="000000"/>
                <w:sz w:val="18"/>
                <w:szCs w:val="18"/>
                <w:bdr w:val="nil"/>
              </w:rPr>
              <w:t>Contador</w:t>
            </w:r>
          </w:p>
        </w:tc>
      </w:tr>
      <w:tr w:rsidR="00566CE2" w:rsidTr="003A50F5">
        <w:tc>
          <w:tcPr>
            <w:tcW w:w="6679" w:type="dxa"/>
            <w:shd w:val="clear" w:color="auto" w:fill="auto"/>
          </w:tcPr>
          <w:p w:rsidR="00D76FFE" w:rsidRPr="00D76FFE" w:rsidRDefault="00A82039" w:rsidP="003A50F5">
            <w:pPr>
              <w:pStyle w:val="Ttulo3"/>
              <w:keepNext w:val="0"/>
              <w:widowControl w:val="0"/>
              <w:pBdr>
                <w:top w:val="nil"/>
                <w:left w:val="nil"/>
                <w:bottom w:val="nil"/>
                <w:right w:val="nil"/>
                <w:between w:val="nil"/>
                <w:bar w:val="nil"/>
              </w:pBdr>
              <w:rPr>
                <w:rFonts w:ascii="Arial" w:eastAsia="Calibri" w:hAnsi="Arial" w:cs="Arial"/>
                <w:color w:val="000000"/>
                <w:sz w:val="18"/>
                <w:szCs w:val="18"/>
                <w:bdr w:val="nil"/>
              </w:rPr>
            </w:pPr>
            <w:r w:rsidRPr="00D76FFE">
              <w:rPr>
                <w:rFonts w:ascii="Arial" w:eastAsia="Calibri" w:hAnsi="Arial" w:cs="Arial"/>
                <w:color w:val="000000"/>
                <w:sz w:val="18"/>
                <w:szCs w:val="18"/>
                <w:bdr w:val="nil"/>
              </w:rPr>
              <w:t>CRC nº 2 SP 011609/O-8 “F” DF</w:t>
            </w:r>
          </w:p>
        </w:tc>
        <w:tc>
          <w:tcPr>
            <w:tcW w:w="3073" w:type="dxa"/>
          </w:tcPr>
          <w:p w:rsidR="00D76FFE" w:rsidRPr="00D76FFE" w:rsidRDefault="00A82039" w:rsidP="003A50F5">
            <w:pPr>
              <w:pStyle w:val="Ttulo3"/>
              <w:keepNext w:val="0"/>
              <w:widowControl w:val="0"/>
              <w:pBdr>
                <w:top w:val="nil"/>
                <w:left w:val="nil"/>
                <w:bottom w:val="nil"/>
                <w:right w:val="nil"/>
                <w:between w:val="nil"/>
                <w:bar w:val="nil"/>
              </w:pBdr>
              <w:rPr>
                <w:rFonts w:ascii="Arial" w:eastAsia="Calibri" w:hAnsi="Arial" w:cs="Arial"/>
                <w:color w:val="000000"/>
                <w:sz w:val="18"/>
                <w:szCs w:val="18"/>
                <w:bdr w:val="nil"/>
              </w:rPr>
            </w:pPr>
            <w:r w:rsidRPr="00D76FFE">
              <w:rPr>
                <w:rFonts w:ascii="Arial" w:hAnsi="Arial" w:cs="Arial"/>
                <w:color w:val="000000"/>
                <w:sz w:val="18"/>
                <w:szCs w:val="18"/>
                <w:bdr w:val="nil"/>
              </w:rPr>
              <w:t>CRC nº 1 SP 234751/O-6</w:t>
            </w:r>
          </w:p>
        </w:tc>
      </w:tr>
    </w:tbl>
    <w:p w:rsidR="00566CE2" w:rsidRDefault="00566CE2">
      <w:pPr>
        <w:sectPr w:rsidR="00566CE2" w:rsidSect="003B60C3">
          <w:headerReference w:type="even" r:id="rId44"/>
          <w:headerReference w:type="default" r:id="rId45"/>
          <w:footerReference w:type="even" r:id="rId46"/>
          <w:footerReference w:type="default" r:id="rId47"/>
          <w:headerReference w:type="first" r:id="rId48"/>
          <w:footerReference w:type="first" r:id="rId49"/>
          <w:type w:val="continuous"/>
          <w:pgSz w:w="11906" w:h="16838"/>
          <w:pgMar w:top="1134" w:right="1134" w:bottom="1134" w:left="1134" w:header="425" w:footer="425" w:gutter="0"/>
          <w:pgBorders>
            <w:top w:val="nil"/>
            <w:left w:val="nil"/>
            <w:bottom w:val="nil"/>
            <w:right w:val="nil"/>
          </w:pgBorders>
          <w:pgNumType w:start="26"/>
          <w:cols w:space="708"/>
          <w:docGrid w:linePitch="360"/>
        </w:sectPr>
      </w:pPr>
    </w:p>
    <w:p w:rsidR="00566CE2" w:rsidRDefault="00566CE2">
      <w:pPr>
        <w:pBdr>
          <w:top w:val="nil"/>
          <w:left w:val="nil"/>
          <w:bottom w:val="nil"/>
          <w:right w:val="nil"/>
          <w:between w:val="nil"/>
          <w:bar w:val="nil"/>
        </w:pBdr>
        <w:spacing w:before="0" w:after="200"/>
        <w:jc w:val="left"/>
        <w:rPr>
          <w:rFonts w:ascii="Calibri" w:eastAsia="Calibri" w:hAnsi="Calibri" w:cs="Arial"/>
          <w:sz w:val="22"/>
          <w:szCs w:val="22"/>
          <w:bdr w:val="nil"/>
          <w:lang w:val="en-US" w:eastAsia="en-US"/>
        </w:rPr>
      </w:pPr>
    </w:p>
    <w:p w:rsidR="008523AF" w:rsidRPr="005F4D42" w:rsidRDefault="00A82039" w:rsidP="003B60C3">
      <w:pPr>
        <w:keepLines/>
        <w:pBdr>
          <w:top w:val="nil"/>
          <w:left w:val="nil"/>
          <w:bottom w:val="nil"/>
          <w:right w:val="nil"/>
          <w:between w:val="nil"/>
          <w:bar w:val="nil"/>
        </w:pBdr>
        <w:spacing w:before="0" w:after="200" w:line="240" w:lineRule="auto"/>
        <w:jc w:val="center"/>
        <w:rPr>
          <w:rFonts w:eastAsia="Arial" w:cs="Arial"/>
          <w:b/>
          <w:bdr w:val="nil"/>
          <w:lang w:val="en-US" w:eastAsia="en-US"/>
        </w:rPr>
      </w:pPr>
      <w:r w:rsidRPr="005F4D42">
        <w:rPr>
          <w:rFonts w:eastAsia="Arial" w:cs="Arial"/>
          <w:b/>
          <w:bdr w:val="nil"/>
          <w:lang w:val="en-US" w:eastAsia="en-US"/>
        </w:rPr>
        <w:lastRenderedPageBreak/>
        <w:t>RESUMO DO RELATÓRIO DO COMITÊ DE AUDITORIA</w:t>
      </w:r>
    </w:p>
    <w:p w:rsidR="008523AF" w:rsidRPr="005F4D42" w:rsidRDefault="008523AF" w:rsidP="008A1BB3">
      <w:pPr>
        <w:keepLines/>
        <w:pBdr>
          <w:top w:val="nil"/>
          <w:left w:val="nil"/>
          <w:bottom w:val="nil"/>
          <w:right w:val="nil"/>
          <w:between w:val="nil"/>
          <w:bar w:val="nil"/>
        </w:pBdr>
        <w:spacing w:before="0" w:after="200" w:line="240" w:lineRule="auto"/>
        <w:rPr>
          <w:rFonts w:eastAsia="Arial" w:cs="Arial"/>
          <w:bdr w:val="nil"/>
          <w:lang w:val="en-US" w:eastAsia="en-US"/>
        </w:rPr>
      </w:pPr>
    </w:p>
    <w:p w:rsidR="009943C2" w:rsidRPr="009943C2" w:rsidRDefault="00A82039" w:rsidP="009943C2">
      <w:pPr>
        <w:keepLines/>
        <w:numPr>
          <w:ilvl w:val="0"/>
          <w:numId w:val="20"/>
        </w:numPr>
        <w:pBdr>
          <w:top w:val="nil"/>
          <w:left w:val="nil"/>
          <w:bottom w:val="nil"/>
          <w:right w:val="nil"/>
          <w:between w:val="nil"/>
          <w:bar w:val="nil"/>
        </w:pBdr>
        <w:shd w:val="clear" w:color="auto" w:fill="FFFFFF"/>
        <w:spacing w:before="360" w:after="160" w:line="256" w:lineRule="auto"/>
        <w:ind w:left="426" w:hanging="426"/>
        <w:rPr>
          <w:rFonts w:eastAsia="Arial" w:cs="Arial"/>
          <w:b/>
          <w:bdr w:val="nil"/>
        </w:rPr>
      </w:pPr>
      <w:r w:rsidRPr="009943C2">
        <w:rPr>
          <w:rFonts w:eastAsia="Arial" w:cs="Arial"/>
          <w:b/>
          <w:bdr w:val="nil"/>
        </w:rPr>
        <w:t>Introdução</w:t>
      </w:r>
    </w:p>
    <w:p w:rsidR="009943C2" w:rsidRPr="009943C2" w:rsidRDefault="00A82039" w:rsidP="009943C2">
      <w:pPr>
        <w:keepLines/>
        <w:pBdr>
          <w:top w:val="nil"/>
          <w:left w:val="nil"/>
          <w:bottom w:val="nil"/>
          <w:right w:val="nil"/>
          <w:between w:val="nil"/>
          <w:bar w:val="nil"/>
        </w:pBdr>
        <w:shd w:val="clear" w:color="auto" w:fill="FFFFFF"/>
        <w:ind w:left="426" w:right="51" w:firstLine="348"/>
        <w:rPr>
          <w:rFonts w:eastAsia="Arial" w:cs="Arial"/>
          <w:bdr w:val="nil"/>
          <w:lang w:eastAsia="en-US"/>
        </w:rPr>
      </w:pPr>
      <w:r w:rsidRPr="009943C2">
        <w:rPr>
          <w:rFonts w:eastAsia="Arial" w:cs="Arial"/>
          <w:bdr w:val="nil"/>
          <w:lang w:eastAsia="en-US"/>
        </w:rPr>
        <w:t>O Comitê de Auditoria (Coaud) do Banco do Brasil (BB), órgão estatutário de assessoramento do Conselho de Administração (CA), é composto atualmente por três membros, sendo um integrante do CA do BB, todos independentes e eleitos pelo CA.</w:t>
      </w:r>
    </w:p>
    <w:p w:rsidR="009943C2" w:rsidRPr="009943C2" w:rsidRDefault="00A82039" w:rsidP="009943C2">
      <w:pPr>
        <w:keepLines/>
        <w:pBdr>
          <w:top w:val="nil"/>
          <w:left w:val="nil"/>
          <w:bottom w:val="nil"/>
          <w:right w:val="nil"/>
          <w:between w:val="nil"/>
          <w:bar w:val="nil"/>
        </w:pBdr>
        <w:shd w:val="clear" w:color="auto" w:fill="FFFFFF"/>
        <w:spacing w:after="360"/>
        <w:ind w:left="425" w:right="51" w:firstLine="346"/>
        <w:rPr>
          <w:rFonts w:eastAsia="Arial" w:cs="Arial"/>
          <w:bdr w:val="nil"/>
          <w:lang w:eastAsia="en-US"/>
        </w:rPr>
      </w:pPr>
      <w:r w:rsidRPr="009943C2">
        <w:rPr>
          <w:rFonts w:eastAsia="Arial" w:cs="Arial"/>
          <w:bdr w:val="nil"/>
          <w:lang w:eastAsia="en-US"/>
        </w:rPr>
        <w:t>O Banco do Brasil optou pela constituição de comitê de auditoria único para o Banco Múltiplo e Subsidiárias, entre elas a Ativos S.A. - Securitizadora de Créditos Financeiros (Ativos S.A.).</w:t>
      </w:r>
    </w:p>
    <w:p w:rsidR="009943C2" w:rsidRPr="009943C2" w:rsidRDefault="00A82039" w:rsidP="009943C2">
      <w:pPr>
        <w:keepLines/>
        <w:numPr>
          <w:ilvl w:val="0"/>
          <w:numId w:val="20"/>
        </w:numPr>
        <w:pBdr>
          <w:top w:val="nil"/>
          <w:left w:val="nil"/>
          <w:bottom w:val="nil"/>
          <w:right w:val="nil"/>
          <w:between w:val="nil"/>
          <w:bar w:val="nil"/>
        </w:pBdr>
        <w:shd w:val="clear" w:color="auto" w:fill="FFFFFF"/>
        <w:spacing w:before="360" w:after="160" w:line="256" w:lineRule="auto"/>
        <w:ind w:left="426" w:hanging="426"/>
        <w:rPr>
          <w:rFonts w:eastAsia="Arial" w:cs="Arial"/>
          <w:b/>
          <w:bdr w:val="nil"/>
        </w:rPr>
      </w:pPr>
      <w:r w:rsidRPr="009943C2">
        <w:rPr>
          <w:rFonts w:eastAsia="Arial" w:cs="Arial"/>
          <w:b/>
          <w:bdr w:val="nil"/>
        </w:rPr>
        <w:t>Responsabilidades</w:t>
      </w:r>
    </w:p>
    <w:p w:rsidR="009943C2" w:rsidRPr="009943C2" w:rsidRDefault="00A82039" w:rsidP="009943C2">
      <w:pPr>
        <w:keepLines/>
        <w:pBdr>
          <w:top w:val="nil"/>
          <w:left w:val="nil"/>
          <w:bottom w:val="nil"/>
          <w:right w:val="nil"/>
          <w:between w:val="nil"/>
          <w:bar w:val="nil"/>
        </w:pBdr>
        <w:shd w:val="clear" w:color="auto" w:fill="FFFFFF"/>
        <w:ind w:left="426" w:right="51" w:firstLine="348"/>
        <w:rPr>
          <w:rFonts w:eastAsia="Arial" w:cs="Arial"/>
          <w:iCs/>
          <w:color w:val="0000FF"/>
          <w:u w:val="single"/>
          <w:bdr w:val="nil"/>
          <w:lang w:eastAsia="en-US"/>
        </w:rPr>
      </w:pPr>
      <w:r w:rsidRPr="009943C2">
        <w:rPr>
          <w:rFonts w:eastAsia="Arial" w:cs="Arial"/>
          <w:bdr w:val="nil"/>
          <w:lang w:eastAsia="en-US"/>
        </w:rPr>
        <w:t xml:space="preserve">O Coaud tem suas atribuições definidas pela Lei nº 13.303/2016 (Lei das Estatais), Decreto Regulamentar nº 8.945/2016, Resolução CMN nº 3.198/2004, Programa Destaque em Governança das Estatais (PDGE), Estatuto Social do BB e seu Regimento Interno, disponível no endereço eletrônico </w:t>
      </w:r>
      <w:hyperlink r:id="rId50" w:history="1">
        <w:r w:rsidRPr="009943C2">
          <w:rPr>
            <w:rFonts w:eastAsia="Arial" w:cs="Arial"/>
            <w:i/>
            <w:iCs/>
            <w:color w:val="0000FF"/>
            <w:u w:val="single"/>
            <w:bdr w:val="nil"/>
            <w:lang w:eastAsia="en-US"/>
          </w:rPr>
          <w:t>www.bb.com.br/ri</w:t>
        </w:r>
      </w:hyperlink>
      <w:r w:rsidRPr="009943C2">
        <w:rPr>
          <w:rFonts w:eastAsia="Arial" w:cs="Arial"/>
          <w:iCs/>
          <w:color w:val="0000FF"/>
          <w:u w:val="single"/>
          <w:bdr w:val="nil"/>
          <w:lang w:eastAsia="en-US"/>
        </w:rPr>
        <w:t xml:space="preserve">. </w:t>
      </w:r>
    </w:p>
    <w:p w:rsidR="009943C2" w:rsidRPr="009943C2" w:rsidRDefault="00A82039" w:rsidP="009943C2">
      <w:pPr>
        <w:keepLines/>
        <w:pBdr>
          <w:top w:val="nil"/>
          <w:left w:val="nil"/>
          <w:bottom w:val="nil"/>
          <w:right w:val="nil"/>
          <w:between w:val="nil"/>
          <w:bar w:val="nil"/>
        </w:pBdr>
        <w:shd w:val="clear" w:color="auto" w:fill="FFFFFF"/>
        <w:ind w:left="426" w:right="51" w:firstLine="348"/>
        <w:rPr>
          <w:rFonts w:eastAsia="Arial" w:cs="Arial"/>
          <w:bdr w:val="nil"/>
          <w:lang w:eastAsia="en-US"/>
        </w:rPr>
      </w:pPr>
      <w:r w:rsidRPr="009943C2">
        <w:rPr>
          <w:rFonts w:eastAsia="Arial" w:cs="Arial"/>
          <w:bdr w:val="nil"/>
          <w:lang w:eastAsia="en-US"/>
        </w:rPr>
        <w:t>Nesse contexto, os administradores da Ativos S.A. são responsáveis por elaborar e garantir a integridade das demonstrações contábeis, gerir os riscos, manter sistema de controles internos efetivo e zelar pela conformidade das atividades às leis e regulamentos.</w:t>
      </w:r>
    </w:p>
    <w:p w:rsidR="009943C2" w:rsidRPr="009943C2" w:rsidRDefault="00A82039" w:rsidP="009943C2">
      <w:pPr>
        <w:keepLines/>
        <w:pBdr>
          <w:top w:val="nil"/>
          <w:left w:val="nil"/>
          <w:bottom w:val="nil"/>
          <w:right w:val="nil"/>
          <w:between w:val="nil"/>
          <w:bar w:val="nil"/>
        </w:pBdr>
        <w:shd w:val="clear" w:color="auto" w:fill="FFFFFF"/>
        <w:ind w:left="426" w:right="51" w:firstLine="348"/>
        <w:rPr>
          <w:rFonts w:eastAsia="Arial" w:cs="Arial"/>
          <w:bdr w:val="nil"/>
          <w:lang w:eastAsia="en-US"/>
        </w:rPr>
      </w:pPr>
      <w:r w:rsidRPr="009943C2">
        <w:rPr>
          <w:rFonts w:eastAsia="Arial" w:cs="Arial"/>
          <w:bdr w:val="nil"/>
          <w:lang w:eastAsia="en-US"/>
        </w:rPr>
        <w:t>A Resolução CMN nº 4.557/2017 atribui ao Comitê de Riscos e de Capital (Coris) o assessoramento ao CA em suas funções relativas à gestão de riscos e de capital, de forma unificada, para as instituições integrantes do Conglomerado Prudencial do BB. O Coaud avalia e monitora as exposições a riscos mediante interação e atuação conjunta com o Coris.</w:t>
      </w:r>
    </w:p>
    <w:p w:rsidR="009943C2" w:rsidRPr="009943C2" w:rsidRDefault="00A82039" w:rsidP="009943C2">
      <w:pPr>
        <w:keepLines/>
        <w:pBdr>
          <w:top w:val="nil"/>
          <w:left w:val="nil"/>
          <w:bottom w:val="nil"/>
          <w:right w:val="nil"/>
          <w:between w:val="nil"/>
          <w:bar w:val="nil"/>
        </w:pBdr>
        <w:shd w:val="clear" w:color="auto" w:fill="FFFFFF"/>
        <w:ind w:left="426" w:right="51" w:firstLine="348"/>
        <w:rPr>
          <w:rFonts w:eastAsia="Arial" w:cs="Arial"/>
          <w:bdr w:val="nil"/>
          <w:lang w:eastAsia="en-US"/>
        </w:rPr>
      </w:pPr>
      <w:r w:rsidRPr="009943C2">
        <w:rPr>
          <w:rFonts w:eastAsia="Arial" w:cs="Arial"/>
          <w:bdr w:val="nil"/>
          <w:lang w:eastAsia="en-US"/>
        </w:rPr>
        <w:t>A Auditoria Interna (Audit) do Conglomerado responde pela realização de trabalhos periódicos, com foco nos principais riscos a que a Ativos S.A. está exposta, avaliando, com independência, as ações de gerenciamento desses riscos e a adequação da governança e dos controles internos, por meio de verificações quanto a sua qualidade, suficiência, cumprimento e efetividade.</w:t>
      </w:r>
    </w:p>
    <w:p w:rsidR="009943C2" w:rsidRPr="009943C2" w:rsidRDefault="00A82039" w:rsidP="009943C2">
      <w:pPr>
        <w:keepLines/>
        <w:pBdr>
          <w:top w:val="nil"/>
          <w:left w:val="nil"/>
          <w:bottom w:val="nil"/>
          <w:right w:val="nil"/>
          <w:between w:val="nil"/>
          <w:bar w:val="nil"/>
        </w:pBdr>
        <w:shd w:val="clear" w:color="auto" w:fill="FFFFFF"/>
        <w:spacing w:after="360"/>
        <w:ind w:left="425" w:right="51" w:firstLine="346"/>
        <w:rPr>
          <w:rFonts w:eastAsia="Arial" w:cs="Arial"/>
          <w:bdr w:val="nil"/>
          <w:lang w:eastAsia="en-US"/>
        </w:rPr>
      </w:pPr>
      <w:r w:rsidRPr="009943C2">
        <w:rPr>
          <w:rFonts w:eastAsia="Arial" w:cs="Arial"/>
          <w:bdr w:val="nil"/>
          <w:lang w:eastAsia="en-US"/>
        </w:rPr>
        <w:t>A Deloitte Touche Tohmatsu Auditores Independentes (Deloitte) é responsável pela auditoria das demonstrações contábeis. Avalia, também, no contexto desse trabalho, a qualidade e suficiência dos controles internos relevantes para a elaboração e adequada apresentação das demonstrações contábeis.</w:t>
      </w:r>
    </w:p>
    <w:p w:rsidR="009943C2" w:rsidRPr="009943C2" w:rsidRDefault="00A82039" w:rsidP="009943C2">
      <w:pPr>
        <w:keepLines/>
        <w:numPr>
          <w:ilvl w:val="0"/>
          <w:numId w:val="20"/>
        </w:numPr>
        <w:pBdr>
          <w:top w:val="nil"/>
          <w:left w:val="nil"/>
          <w:bottom w:val="nil"/>
          <w:right w:val="nil"/>
          <w:between w:val="nil"/>
          <w:bar w:val="nil"/>
        </w:pBdr>
        <w:shd w:val="clear" w:color="auto" w:fill="FFFFFF"/>
        <w:spacing w:before="360" w:after="160" w:line="256" w:lineRule="auto"/>
        <w:ind w:left="426" w:hanging="426"/>
        <w:rPr>
          <w:rFonts w:eastAsia="Arial" w:cs="Arial"/>
          <w:b/>
          <w:bdr w:val="nil"/>
        </w:rPr>
      </w:pPr>
      <w:r w:rsidRPr="009943C2">
        <w:rPr>
          <w:rFonts w:eastAsia="Arial" w:cs="Arial"/>
          <w:b/>
          <w:bdr w:val="nil"/>
        </w:rPr>
        <w:t>Atividades do período</w:t>
      </w:r>
    </w:p>
    <w:p w:rsidR="009943C2" w:rsidRPr="009943C2" w:rsidRDefault="00A82039" w:rsidP="009943C2">
      <w:pPr>
        <w:keepLines/>
        <w:pBdr>
          <w:top w:val="nil"/>
          <w:left w:val="nil"/>
          <w:bottom w:val="nil"/>
          <w:right w:val="nil"/>
          <w:between w:val="nil"/>
          <w:bar w:val="nil"/>
        </w:pBdr>
        <w:ind w:left="426" w:right="51" w:firstLine="348"/>
        <w:rPr>
          <w:rFonts w:eastAsia="Arial" w:cs="Arial"/>
          <w:bdr w:val="nil"/>
          <w:lang w:eastAsia="en-US"/>
        </w:rPr>
      </w:pPr>
      <w:r w:rsidRPr="009943C2">
        <w:rPr>
          <w:rFonts w:eastAsia="Arial" w:cs="Arial"/>
          <w:bdr w:val="nil"/>
          <w:lang w:eastAsia="en-US"/>
        </w:rPr>
        <w:t>O Comitê de Auditoria, em cumprimento ao seu plano de trabalho, realizou regularmente reuniões internas, com o CA e a Diretoria da Empresa, auditorias interna e independente, e também com executivos do Banco de áreas que realizam atividades necessárias às operações da empresa.</w:t>
      </w:r>
    </w:p>
    <w:p w:rsidR="009943C2" w:rsidRPr="009943C2" w:rsidRDefault="00A82039" w:rsidP="009943C2">
      <w:pPr>
        <w:keepLines/>
        <w:pBdr>
          <w:top w:val="nil"/>
          <w:left w:val="nil"/>
          <w:bottom w:val="nil"/>
          <w:right w:val="nil"/>
          <w:between w:val="nil"/>
          <w:bar w:val="nil"/>
        </w:pBdr>
        <w:ind w:left="426" w:right="51" w:firstLine="348"/>
        <w:rPr>
          <w:rFonts w:eastAsia="Arial" w:cs="Arial"/>
          <w:bdr w:val="nil"/>
          <w:lang w:eastAsia="en-US"/>
        </w:rPr>
      </w:pPr>
      <w:r w:rsidRPr="009943C2">
        <w:rPr>
          <w:rFonts w:eastAsia="Arial" w:cs="Arial"/>
          <w:bdr w:val="nil"/>
          <w:lang w:eastAsia="en-US"/>
        </w:rPr>
        <w:t>Nas reuniões, abordou os temas sob acompanhamento do Coaud e efetuou recomendações à administração nas situações em que identificou oportunidades de melhorias.</w:t>
      </w:r>
    </w:p>
    <w:p w:rsidR="009943C2" w:rsidRPr="009943C2" w:rsidRDefault="00A82039" w:rsidP="009943C2">
      <w:pPr>
        <w:keepLines/>
        <w:pBdr>
          <w:top w:val="nil"/>
          <w:left w:val="nil"/>
          <w:bottom w:val="nil"/>
          <w:right w:val="nil"/>
          <w:between w:val="nil"/>
          <w:bar w:val="nil"/>
        </w:pBdr>
        <w:shd w:val="clear" w:color="auto" w:fill="FFFFFF"/>
        <w:spacing w:after="360"/>
        <w:ind w:left="425" w:right="51" w:firstLine="346"/>
        <w:rPr>
          <w:rFonts w:eastAsia="Arial" w:cs="Arial"/>
          <w:bdr w:val="nil"/>
        </w:rPr>
      </w:pPr>
      <w:r w:rsidRPr="009943C2">
        <w:rPr>
          <w:rFonts w:eastAsia="Arial" w:cs="Arial"/>
          <w:bdr w:val="nil"/>
        </w:rPr>
        <w:t>Não chegou ao conhecimento do Coaud a existência e/ou evidências de fraudes ou inobservância de normas legais e regulamentares que pudessem colocar em risco a continuidade da instituição.</w:t>
      </w:r>
    </w:p>
    <w:p w:rsidR="009943C2" w:rsidRPr="009943C2" w:rsidRDefault="00A82039" w:rsidP="009943C2">
      <w:pPr>
        <w:keepLines/>
        <w:numPr>
          <w:ilvl w:val="0"/>
          <w:numId w:val="20"/>
        </w:numPr>
        <w:pBdr>
          <w:top w:val="nil"/>
          <w:left w:val="nil"/>
          <w:bottom w:val="nil"/>
          <w:right w:val="nil"/>
          <w:between w:val="nil"/>
          <w:bar w:val="nil"/>
        </w:pBdr>
        <w:shd w:val="clear" w:color="auto" w:fill="FFFFFF"/>
        <w:spacing w:before="360" w:after="160" w:line="256" w:lineRule="auto"/>
        <w:ind w:left="426" w:hanging="426"/>
        <w:rPr>
          <w:rFonts w:eastAsia="Arial" w:cs="Arial"/>
          <w:b/>
          <w:bdr w:val="nil"/>
        </w:rPr>
      </w:pPr>
      <w:r w:rsidRPr="009943C2">
        <w:rPr>
          <w:rFonts w:eastAsia="Arial" w:cs="Arial"/>
          <w:b/>
          <w:bdr w:val="nil"/>
        </w:rPr>
        <w:t>Auditoria Interna</w:t>
      </w:r>
    </w:p>
    <w:p w:rsidR="009943C2" w:rsidRPr="009943C2" w:rsidRDefault="00A82039" w:rsidP="009943C2">
      <w:pPr>
        <w:keepLines/>
        <w:pBdr>
          <w:top w:val="nil"/>
          <w:left w:val="nil"/>
          <w:bottom w:val="nil"/>
          <w:right w:val="nil"/>
          <w:between w:val="nil"/>
          <w:bar w:val="nil"/>
        </w:pBdr>
        <w:shd w:val="clear" w:color="auto" w:fill="FFFFFF"/>
        <w:ind w:left="426" w:right="51" w:firstLine="348"/>
        <w:rPr>
          <w:rFonts w:eastAsia="Arial" w:cs="Arial"/>
          <w:bdr w:val="nil"/>
        </w:rPr>
      </w:pPr>
      <w:r w:rsidRPr="009943C2">
        <w:rPr>
          <w:rFonts w:eastAsia="Arial" w:cs="Arial"/>
          <w:bdr w:val="nil"/>
        </w:rPr>
        <w:t xml:space="preserve">O Coaud supervisiona as atividades desenvolvidas pela Audit e avalia, por meio de instrumental técnico formal, sua independência, objetividade, qualidade e efetividade. </w:t>
      </w:r>
    </w:p>
    <w:p w:rsidR="009943C2" w:rsidRPr="009943C2" w:rsidRDefault="00A82039" w:rsidP="009943C2">
      <w:pPr>
        <w:keepLines/>
        <w:pBdr>
          <w:top w:val="nil"/>
          <w:left w:val="nil"/>
          <w:bottom w:val="nil"/>
          <w:right w:val="nil"/>
          <w:between w:val="nil"/>
          <w:bar w:val="nil"/>
        </w:pBdr>
        <w:shd w:val="clear" w:color="auto" w:fill="FFFFFF"/>
        <w:spacing w:after="360"/>
        <w:ind w:left="425" w:right="51" w:firstLine="346"/>
        <w:rPr>
          <w:rFonts w:eastAsia="Arial" w:cs="Arial"/>
          <w:bdr w:val="nil"/>
        </w:rPr>
      </w:pPr>
      <w:r w:rsidRPr="009943C2">
        <w:rPr>
          <w:rFonts w:eastAsia="Arial" w:cs="Arial"/>
          <w:bdr w:val="nil"/>
        </w:rPr>
        <w:t>Realizou reuniões periódicas com a Unidade para conhecer as conclusões dos trabalhos, principais pontos de atenção, acompanhar sua atuação e o cumprimento de suas atribuições. Conheceu os trabalhos realizados e acompanhou o cumprimento das recomendações emitidas.</w:t>
      </w:r>
    </w:p>
    <w:p w:rsidR="009943C2" w:rsidRPr="009943C2" w:rsidRDefault="00A82039" w:rsidP="003B60C3">
      <w:pPr>
        <w:keepNext/>
        <w:keepLines/>
        <w:numPr>
          <w:ilvl w:val="0"/>
          <w:numId w:val="20"/>
        </w:numPr>
        <w:pBdr>
          <w:top w:val="nil"/>
          <w:left w:val="nil"/>
          <w:bottom w:val="nil"/>
          <w:right w:val="nil"/>
          <w:between w:val="nil"/>
          <w:bar w:val="nil"/>
        </w:pBdr>
        <w:shd w:val="clear" w:color="auto" w:fill="FFFFFF"/>
        <w:spacing w:before="360" w:after="160" w:line="257" w:lineRule="auto"/>
        <w:ind w:left="425" w:hanging="425"/>
        <w:rPr>
          <w:rFonts w:eastAsia="Arial" w:cs="Arial"/>
          <w:b/>
          <w:bdr w:val="nil"/>
        </w:rPr>
      </w:pPr>
      <w:r w:rsidRPr="009943C2">
        <w:rPr>
          <w:rFonts w:eastAsia="Arial" w:cs="Arial"/>
          <w:b/>
          <w:bdr w:val="nil"/>
        </w:rPr>
        <w:lastRenderedPageBreak/>
        <w:t>Auditoria Independente</w:t>
      </w:r>
    </w:p>
    <w:p w:rsidR="009943C2" w:rsidRPr="009943C2" w:rsidRDefault="00A82039" w:rsidP="009943C2">
      <w:pPr>
        <w:keepLines/>
        <w:pBdr>
          <w:top w:val="nil"/>
          <w:left w:val="nil"/>
          <w:bottom w:val="nil"/>
          <w:right w:val="nil"/>
          <w:between w:val="nil"/>
          <w:bar w:val="nil"/>
        </w:pBdr>
        <w:shd w:val="clear" w:color="auto" w:fill="FFFFFF"/>
        <w:ind w:left="426" w:right="51" w:firstLine="348"/>
        <w:rPr>
          <w:rFonts w:eastAsia="Arial" w:cs="Arial"/>
          <w:bdr w:val="nil"/>
        </w:rPr>
      </w:pPr>
      <w:r w:rsidRPr="009943C2">
        <w:rPr>
          <w:rFonts w:eastAsia="Arial" w:cs="Arial"/>
          <w:bdr w:val="nil"/>
        </w:rPr>
        <w:t>O Coaud supervisiona a prestação de serviços de auditoria contábil pelos auditores independentes e avalia a sua independência, a qualidade e a adequação de tais serviços às necessidades da Instituição. Além disso, verifica, previamente à contratação para prestação de outros serviços às empresas do Conglomerado, a existência de conflitos.</w:t>
      </w:r>
    </w:p>
    <w:p w:rsidR="009943C2" w:rsidRPr="009943C2" w:rsidRDefault="00A82039" w:rsidP="009943C2">
      <w:pPr>
        <w:keepLines/>
        <w:pBdr>
          <w:top w:val="nil"/>
          <w:left w:val="nil"/>
          <w:bottom w:val="nil"/>
          <w:right w:val="nil"/>
          <w:between w:val="nil"/>
          <w:bar w:val="nil"/>
        </w:pBdr>
        <w:ind w:left="426" w:right="51" w:firstLine="348"/>
        <w:rPr>
          <w:rFonts w:eastAsia="Arial" w:cs="Arial"/>
          <w:bdr w:val="nil"/>
          <w:lang w:eastAsia="en-US"/>
        </w:rPr>
      </w:pPr>
      <w:r w:rsidRPr="009943C2">
        <w:rPr>
          <w:rFonts w:eastAsia="Arial" w:cs="Arial"/>
          <w:bdr w:val="nil"/>
          <w:lang w:eastAsia="en-US"/>
        </w:rPr>
        <w:t xml:space="preserve">No período, realizou reuniões com a Deloitte com o objetivo de conhecer e acompanhar o planejamento, avaliar os resultados dos principais trabalhos realizados e examinar suas conclusões e recomendações. Os planos de ação são acompanhados pelo Coaud. </w:t>
      </w:r>
    </w:p>
    <w:p w:rsidR="009943C2" w:rsidRPr="009943C2" w:rsidRDefault="00A82039" w:rsidP="009943C2">
      <w:pPr>
        <w:keepLines/>
        <w:numPr>
          <w:ilvl w:val="0"/>
          <w:numId w:val="20"/>
        </w:numPr>
        <w:pBdr>
          <w:top w:val="nil"/>
          <w:left w:val="nil"/>
          <w:bottom w:val="nil"/>
          <w:right w:val="nil"/>
          <w:between w:val="nil"/>
          <w:bar w:val="nil"/>
        </w:pBdr>
        <w:shd w:val="clear" w:color="auto" w:fill="FFFFFF"/>
        <w:spacing w:before="360" w:after="160" w:line="256" w:lineRule="auto"/>
        <w:ind w:left="426" w:hanging="426"/>
        <w:rPr>
          <w:rFonts w:eastAsia="Arial" w:cs="Arial"/>
          <w:b/>
          <w:bdr w:val="nil"/>
        </w:rPr>
      </w:pPr>
      <w:r w:rsidRPr="009943C2">
        <w:rPr>
          <w:rFonts w:eastAsia="Arial" w:cs="Arial"/>
          <w:b/>
          <w:bdr w:val="nil"/>
        </w:rPr>
        <w:t>Sistema de controles internos (SCI)</w:t>
      </w:r>
    </w:p>
    <w:p w:rsidR="009943C2" w:rsidRPr="009943C2" w:rsidRDefault="00A82039" w:rsidP="009943C2">
      <w:pPr>
        <w:keepLines/>
        <w:pBdr>
          <w:top w:val="nil"/>
          <w:left w:val="nil"/>
          <w:bottom w:val="nil"/>
          <w:right w:val="nil"/>
          <w:between w:val="nil"/>
          <w:bar w:val="nil"/>
        </w:pBdr>
        <w:ind w:left="426" w:right="51" w:firstLine="348"/>
        <w:rPr>
          <w:rFonts w:eastAsia="Arial" w:cs="Arial"/>
          <w:bdr w:val="nil"/>
          <w:lang w:eastAsia="en-US"/>
        </w:rPr>
      </w:pPr>
      <w:r w:rsidRPr="009943C2">
        <w:rPr>
          <w:rFonts w:eastAsia="Arial" w:cs="Arial"/>
          <w:bdr w:val="nil"/>
          <w:lang w:eastAsia="en-US"/>
        </w:rPr>
        <w:t xml:space="preserve">O Coaud avalia e monitora a efetividade do sistema de controles internos (SCI). </w:t>
      </w:r>
    </w:p>
    <w:p w:rsidR="009943C2" w:rsidRPr="009943C2" w:rsidRDefault="00A82039" w:rsidP="009943C2">
      <w:pPr>
        <w:keepLines/>
        <w:pBdr>
          <w:top w:val="nil"/>
          <w:left w:val="nil"/>
          <w:bottom w:val="nil"/>
          <w:right w:val="nil"/>
          <w:between w:val="nil"/>
          <w:bar w:val="nil"/>
        </w:pBdr>
        <w:ind w:left="426" w:right="51" w:firstLine="348"/>
        <w:rPr>
          <w:rFonts w:eastAsia="Arial" w:cs="Arial"/>
          <w:bdr w:val="nil"/>
          <w:lang w:eastAsia="en-US"/>
        </w:rPr>
      </w:pPr>
      <w:r w:rsidRPr="009943C2">
        <w:rPr>
          <w:rFonts w:eastAsia="Arial" w:cs="Arial"/>
          <w:bdr w:val="nil"/>
          <w:lang w:eastAsia="en-US"/>
        </w:rPr>
        <w:t xml:space="preserve">A avaliação da efetividade do SCI pelo Coaud é fundamentada principalmente nos resultados dos trabalhos realizados pelas auditorias interna e independente, pelos órgãos externos de supervisão e controle, pela Diretoria de Controles Internos (Dicoi), em informações e documentos requisitados a outras áreas do Banco e em suas próprias análises. </w:t>
      </w:r>
    </w:p>
    <w:p w:rsidR="009943C2" w:rsidRPr="009943C2" w:rsidRDefault="00A82039" w:rsidP="009943C2">
      <w:pPr>
        <w:keepNext/>
        <w:keepLines/>
        <w:numPr>
          <w:ilvl w:val="0"/>
          <w:numId w:val="20"/>
        </w:numPr>
        <w:pBdr>
          <w:top w:val="nil"/>
          <w:left w:val="nil"/>
          <w:bottom w:val="nil"/>
          <w:right w:val="nil"/>
          <w:between w:val="nil"/>
          <w:bar w:val="nil"/>
        </w:pBdr>
        <w:shd w:val="clear" w:color="auto" w:fill="FFFFFF"/>
        <w:spacing w:before="360" w:after="160" w:line="256" w:lineRule="auto"/>
        <w:ind w:left="425" w:hanging="426"/>
        <w:rPr>
          <w:rFonts w:eastAsia="Arial" w:cs="Arial"/>
          <w:b/>
          <w:bdr w:val="nil"/>
        </w:rPr>
      </w:pPr>
      <w:r w:rsidRPr="009943C2">
        <w:rPr>
          <w:rFonts w:eastAsia="Arial" w:cs="Arial"/>
          <w:b/>
          <w:bdr w:val="nil"/>
        </w:rPr>
        <w:t>Transações com partes relacionadas (TPR)</w:t>
      </w:r>
    </w:p>
    <w:p w:rsidR="009943C2" w:rsidRPr="009943C2" w:rsidRDefault="00A82039" w:rsidP="009943C2">
      <w:pPr>
        <w:keepLines/>
        <w:pBdr>
          <w:top w:val="nil"/>
          <w:left w:val="nil"/>
          <w:bottom w:val="nil"/>
          <w:right w:val="nil"/>
          <w:between w:val="nil"/>
          <w:bar w:val="nil"/>
        </w:pBdr>
        <w:ind w:left="426" w:right="51" w:firstLine="348"/>
        <w:rPr>
          <w:rFonts w:eastAsia="Arial" w:cs="Arial"/>
          <w:bdr w:val="nil"/>
          <w:lang w:eastAsia="en-US"/>
        </w:rPr>
      </w:pPr>
      <w:r w:rsidRPr="009943C2">
        <w:rPr>
          <w:rFonts w:eastAsia="Arial" w:cs="Arial"/>
          <w:bdr w:val="nil"/>
          <w:lang w:eastAsia="en-US"/>
        </w:rPr>
        <w:t>O Coaud avalia e monitora, em conjunto com a administração e a área de auditoria interna, a adequação das TPR, de acordo com atribuição estabelecida pela Lei das Estatais e seu Decreto regulamentador e recomenda melhorias nos processos operacionais à administração.</w:t>
      </w:r>
    </w:p>
    <w:p w:rsidR="009943C2" w:rsidRPr="009943C2" w:rsidRDefault="00A82039" w:rsidP="009943C2">
      <w:pPr>
        <w:keepLines/>
        <w:pBdr>
          <w:top w:val="nil"/>
          <w:left w:val="nil"/>
          <w:bottom w:val="nil"/>
          <w:right w:val="nil"/>
          <w:between w:val="nil"/>
          <w:bar w:val="nil"/>
        </w:pBdr>
        <w:ind w:left="426" w:right="51" w:firstLine="348"/>
        <w:rPr>
          <w:rFonts w:eastAsia="Arial" w:cs="Arial"/>
          <w:bdr w:val="nil"/>
          <w:lang w:eastAsia="en-US"/>
        </w:rPr>
      </w:pPr>
      <w:r w:rsidRPr="009943C2">
        <w:rPr>
          <w:rFonts w:eastAsia="Arial" w:cs="Arial"/>
          <w:bdr w:val="nil"/>
          <w:lang w:eastAsia="en-US"/>
        </w:rPr>
        <w:t>O Comitê realizou reuniões com as áreas de primeira e de segunda linhas de defesa e com as auditorias interna e independente, e emitiu pareceres específicos nas transações de alçada do Conselho de Administração da Empresa.</w:t>
      </w:r>
    </w:p>
    <w:p w:rsidR="009943C2" w:rsidRPr="009943C2" w:rsidRDefault="00A82039" w:rsidP="009943C2">
      <w:pPr>
        <w:keepLines/>
        <w:numPr>
          <w:ilvl w:val="0"/>
          <w:numId w:val="20"/>
        </w:numPr>
        <w:pBdr>
          <w:top w:val="nil"/>
          <w:left w:val="nil"/>
          <w:bottom w:val="nil"/>
          <w:right w:val="nil"/>
          <w:between w:val="nil"/>
          <w:bar w:val="nil"/>
        </w:pBdr>
        <w:shd w:val="clear" w:color="auto" w:fill="FFFFFF"/>
        <w:spacing w:before="360" w:after="160" w:line="256" w:lineRule="auto"/>
        <w:ind w:left="426" w:hanging="426"/>
        <w:rPr>
          <w:rFonts w:eastAsia="Arial" w:cs="Arial"/>
          <w:b/>
          <w:bdr w:val="nil"/>
        </w:rPr>
      </w:pPr>
      <w:r w:rsidRPr="009943C2">
        <w:rPr>
          <w:rFonts w:eastAsia="Arial" w:cs="Arial"/>
          <w:b/>
          <w:bdr w:val="nil"/>
        </w:rPr>
        <w:t>Exposição de risco</w:t>
      </w:r>
    </w:p>
    <w:p w:rsidR="009943C2" w:rsidRPr="009943C2" w:rsidRDefault="00A82039" w:rsidP="009943C2">
      <w:pPr>
        <w:keepLines/>
        <w:pBdr>
          <w:top w:val="nil"/>
          <w:left w:val="nil"/>
          <w:bottom w:val="nil"/>
          <w:right w:val="nil"/>
          <w:between w:val="nil"/>
          <w:bar w:val="nil"/>
        </w:pBdr>
        <w:shd w:val="clear" w:color="auto" w:fill="FFFFFF"/>
        <w:ind w:left="426" w:right="51" w:firstLine="282"/>
        <w:rPr>
          <w:rFonts w:eastAsia="Arial" w:cs="Arial"/>
          <w:bdr w:val="nil"/>
        </w:rPr>
      </w:pPr>
      <w:r w:rsidRPr="009943C2">
        <w:rPr>
          <w:rFonts w:eastAsia="Arial" w:cs="Arial"/>
          <w:bdr w:val="nil"/>
        </w:rPr>
        <w:t>O Coaud, em conjunto com o Coris, avaliou e monitorou as principais atividades relacionadas ao gerenciamento de riscos e realizou reuniões com as áreas gestoras de riscos e de capital.</w:t>
      </w:r>
    </w:p>
    <w:p w:rsidR="009943C2" w:rsidRPr="009943C2" w:rsidRDefault="00A82039" w:rsidP="009943C2">
      <w:pPr>
        <w:keepLines/>
        <w:numPr>
          <w:ilvl w:val="0"/>
          <w:numId w:val="20"/>
        </w:numPr>
        <w:pBdr>
          <w:top w:val="nil"/>
          <w:left w:val="nil"/>
          <w:bottom w:val="nil"/>
          <w:right w:val="nil"/>
          <w:between w:val="nil"/>
          <w:bar w:val="nil"/>
        </w:pBdr>
        <w:shd w:val="clear" w:color="auto" w:fill="FFFFFF"/>
        <w:spacing w:before="360" w:after="160" w:line="256" w:lineRule="auto"/>
        <w:ind w:left="426" w:hanging="426"/>
        <w:rPr>
          <w:rFonts w:eastAsia="Arial" w:cs="Arial"/>
          <w:b/>
          <w:bdr w:val="nil"/>
        </w:rPr>
      </w:pPr>
      <w:r w:rsidRPr="009943C2">
        <w:rPr>
          <w:rFonts w:eastAsia="Arial" w:cs="Arial"/>
          <w:b/>
          <w:bdr w:val="nil"/>
        </w:rPr>
        <w:t>Demonstrações Contábeis</w:t>
      </w:r>
    </w:p>
    <w:p w:rsidR="009943C2" w:rsidRPr="009943C2" w:rsidRDefault="00A82039" w:rsidP="009943C2">
      <w:pPr>
        <w:keepLines/>
        <w:pBdr>
          <w:top w:val="nil"/>
          <w:left w:val="nil"/>
          <w:bottom w:val="nil"/>
          <w:right w:val="nil"/>
          <w:between w:val="nil"/>
          <w:bar w:val="nil"/>
        </w:pBdr>
        <w:shd w:val="clear" w:color="auto" w:fill="FFFFFF"/>
        <w:ind w:left="426" w:right="51" w:firstLine="282"/>
        <w:rPr>
          <w:rFonts w:eastAsia="Arial" w:cs="Arial"/>
          <w:bdr w:val="nil"/>
        </w:rPr>
      </w:pPr>
      <w:r w:rsidRPr="009943C2">
        <w:rPr>
          <w:rFonts w:eastAsia="Arial" w:cs="Arial"/>
          <w:bdr w:val="nil"/>
        </w:rPr>
        <w:t>O Coaud revisa, previamente à publicação, as demonstrações contábeis, inclusive notas explicativas, o relatório da administração e do auditor independente. Avalia a qualidade das demonstrações contábeis, com ênfase na aplicação das práticas contábeis adotadas no Brasil e no cumprimento de normas editadas pelo Bacen.</w:t>
      </w:r>
    </w:p>
    <w:p w:rsidR="009943C2" w:rsidRPr="009943C2" w:rsidRDefault="00A82039" w:rsidP="009943C2">
      <w:pPr>
        <w:keepLines/>
        <w:pBdr>
          <w:top w:val="nil"/>
          <w:left w:val="nil"/>
          <w:bottom w:val="nil"/>
          <w:right w:val="nil"/>
          <w:between w:val="nil"/>
          <w:bar w:val="nil"/>
        </w:pBdr>
        <w:shd w:val="clear" w:color="auto" w:fill="FFFFFF"/>
        <w:ind w:left="426" w:right="51" w:firstLine="282"/>
        <w:rPr>
          <w:rFonts w:eastAsia="Arial" w:cs="Arial"/>
          <w:bdr w:val="nil"/>
        </w:rPr>
      </w:pPr>
      <w:r w:rsidRPr="009943C2">
        <w:rPr>
          <w:rFonts w:eastAsia="Arial" w:cs="Arial"/>
          <w:bdr w:val="nil"/>
        </w:rPr>
        <w:t>Examinou o resumo das principais práticas contábeis e analisou mensalmente as principais variações nos saldos contábeis e respectivas causas, a partir de informações fornecidas pela Diretoria Contadoria (Coger).</w:t>
      </w:r>
    </w:p>
    <w:p w:rsidR="009943C2" w:rsidRPr="009943C2" w:rsidRDefault="00A82039" w:rsidP="009943C2">
      <w:pPr>
        <w:keepLines/>
        <w:pBdr>
          <w:top w:val="nil"/>
          <w:left w:val="nil"/>
          <w:bottom w:val="nil"/>
          <w:right w:val="nil"/>
          <w:between w:val="nil"/>
          <w:bar w:val="nil"/>
        </w:pBdr>
        <w:shd w:val="clear" w:color="auto" w:fill="FFFFFF"/>
        <w:ind w:left="426" w:right="51" w:firstLine="282"/>
        <w:rPr>
          <w:rFonts w:eastAsia="Arial" w:cs="Arial"/>
          <w:bdr w:val="nil"/>
        </w:rPr>
      </w:pPr>
      <w:r w:rsidRPr="009943C2">
        <w:rPr>
          <w:rFonts w:eastAsia="Arial" w:cs="Arial"/>
          <w:bdr w:val="nil"/>
        </w:rPr>
        <w:t xml:space="preserve">Revisou as demonstrações contábeis, inclusive notas explicativas, o relatório da administração e o relatório do Auditor Independente, </w:t>
      </w:r>
      <w:r w:rsidRPr="009943C2">
        <w:rPr>
          <w:rFonts w:eastAsia="Arial" w:cs="Arial"/>
          <w:bdr w:val="nil"/>
          <w:shd w:val="clear" w:color="auto" w:fill="FFFFFF"/>
        </w:rPr>
        <w:t>sem ressalvas,</w:t>
      </w:r>
      <w:r w:rsidRPr="009943C2">
        <w:rPr>
          <w:rFonts w:eastAsia="Arial" w:cs="Arial"/>
          <w:bdr w:val="nil"/>
        </w:rPr>
        <w:t xml:space="preserve"> relativos a 31/12/2019.</w:t>
      </w:r>
    </w:p>
    <w:p w:rsidR="009943C2" w:rsidRPr="009943C2" w:rsidRDefault="00A82039" w:rsidP="009943C2">
      <w:pPr>
        <w:keepLines/>
        <w:numPr>
          <w:ilvl w:val="0"/>
          <w:numId w:val="20"/>
        </w:numPr>
        <w:pBdr>
          <w:top w:val="nil"/>
          <w:left w:val="nil"/>
          <w:bottom w:val="nil"/>
          <w:right w:val="nil"/>
          <w:between w:val="nil"/>
          <w:bar w:val="nil"/>
        </w:pBdr>
        <w:shd w:val="clear" w:color="auto" w:fill="FFFFFF"/>
        <w:spacing w:before="360" w:after="160" w:line="256" w:lineRule="auto"/>
        <w:ind w:left="426" w:hanging="426"/>
        <w:rPr>
          <w:rFonts w:eastAsia="Arial" w:cs="Arial"/>
          <w:b/>
          <w:bdr w:val="nil"/>
        </w:rPr>
      </w:pPr>
      <w:r w:rsidRPr="009943C2">
        <w:rPr>
          <w:rFonts w:eastAsia="Arial" w:cs="Arial"/>
          <w:b/>
          <w:bdr w:val="nil"/>
        </w:rPr>
        <w:t>Recomendações do Comitê de Auditoria</w:t>
      </w:r>
    </w:p>
    <w:p w:rsidR="009943C2" w:rsidRPr="009943C2" w:rsidRDefault="00A82039" w:rsidP="009943C2">
      <w:pPr>
        <w:keepLines/>
        <w:pBdr>
          <w:top w:val="nil"/>
          <w:left w:val="nil"/>
          <w:bottom w:val="nil"/>
          <w:right w:val="nil"/>
          <w:between w:val="nil"/>
          <w:bar w:val="nil"/>
        </w:pBdr>
        <w:shd w:val="clear" w:color="auto" w:fill="FFFFFF"/>
        <w:ind w:left="426" w:right="51" w:firstLine="425"/>
        <w:rPr>
          <w:rFonts w:eastAsia="Arial" w:cs="Arial"/>
          <w:bdr w:val="nil"/>
        </w:rPr>
      </w:pPr>
      <w:r w:rsidRPr="009943C2">
        <w:rPr>
          <w:rFonts w:eastAsia="Arial" w:cs="Arial"/>
          <w:bdr w:val="nil"/>
        </w:rPr>
        <w:t xml:space="preserve">O Comitê elaborou pareceres ao Conselho de Administração da Ativos S.A. em relação aos seguintes temas: Carta Anual da Ativos S/A e transações com partes relacionadas. </w:t>
      </w:r>
    </w:p>
    <w:p w:rsidR="009943C2" w:rsidRPr="009943C2" w:rsidRDefault="00A82039" w:rsidP="009943C2">
      <w:pPr>
        <w:keepLines/>
        <w:pBdr>
          <w:top w:val="nil"/>
          <w:left w:val="nil"/>
          <w:bottom w:val="nil"/>
          <w:right w:val="nil"/>
          <w:between w:val="nil"/>
          <w:bar w:val="nil"/>
        </w:pBdr>
        <w:shd w:val="clear" w:color="auto" w:fill="FFFFFF"/>
        <w:ind w:left="426" w:right="51" w:firstLine="425"/>
        <w:rPr>
          <w:rFonts w:eastAsia="Arial" w:cs="Arial"/>
          <w:bdr w:val="nil"/>
        </w:rPr>
      </w:pPr>
      <w:r w:rsidRPr="009943C2">
        <w:rPr>
          <w:rFonts w:eastAsia="Arial" w:cs="Arial"/>
          <w:bdr w:val="nil"/>
        </w:rPr>
        <w:t>Não há registro de recomendações pendentes de implementação de períodos anteriores.</w:t>
      </w:r>
    </w:p>
    <w:p w:rsidR="009943C2" w:rsidRPr="009943C2" w:rsidRDefault="00A82039" w:rsidP="009943C2">
      <w:pPr>
        <w:keepLines/>
        <w:numPr>
          <w:ilvl w:val="0"/>
          <w:numId w:val="20"/>
        </w:numPr>
        <w:pBdr>
          <w:top w:val="nil"/>
          <w:left w:val="nil"/>
          <w:bottom w:val="nil"/>
          <w:right w:val="nil"/>
          <w:between w:val="nil"/>
          <w:bar w:val="nil"/>
        </w:pBdr>
        <w:shd w:val="clear" w:color="auto" w:fill="FFFFFF"/>
        <w:spacing w:before="360" w:after="160" w:line="256" w:lineRule="auto"/>
        <w:ind w:left="426" w:hanging="426"/>
        <w:rPr>
          <w:rFonts w:eastAsia="Arial" w:cs="Arial"/>
          <w:b/>
          <w:bdr w:val="nil"/>
        </w:rPr>
      </w:pPr>
      <w:r w:rsidRPr="009943C2">
        <w:rPr>
          <w:rFonts w:eastAsia="Arial" w:cs="Arial"/>
          <w:b/>
          <w:bdr w:val="nil"/>
        </w:rPr>
        <w:t>Conclusões</w:t>
      </w:r>
    </w:p>
    <w:p w:rsidR="009943C2" w:rsidRPr="009943C2" w:rsidRDefault="00A82039" w:rsidP="009943C2">
      <w:pPr>
        <w:keepLines/>
        <w:pBdr>
          <w:top w:val="nil"/>
          <w:left w:val="nil"/>
          <w:bottom w:val="nil"/>
          <w:right w:val="nil"/>
          <w:between w:val="nil"/>
          <w:bar w:val="nil"/>
        </w:pBdr>
        <w:shd w:val="clear" w:color="auto" w:fill="FFFFFF"/>
        <w:ind w:left="426" w:right="51" w:firstLine="425"/>
        <w:rPr>
          <w:rFonts w:eastAsia="Arial" w:cs="Arial"/>
          <w:bdr w:val="nil"/>
        </w:rPr>
      </w:pPr>
      <w:r w:rsidRPr="009943C2">
        <w:rPr>
          <w:rFonts w:eastAsia="Arial" w:cs="Arial"/>
          <w:bdr w:val="nil"/>
        </w:rPr>
        <w:t>Com base nas atividades desenvolvidas e tendo presente as atribuições e limitações inerentes ao escopo de sua atuação, o Comitê de Auditoria concluiu que:</w:t>
      </w:r>
    </w:p>
    <w:p w:rsidR="009943C2" w:rsidRPr="009943C2" w:rsidRDefault="00A82039" w:rsidP="009943C2">
      <w:pPr>
        <w:keepLines/>
        <w:numPr>
          <w:ilvl w:val="0"/>
          <w:numId w:val="21"/>
        </w:numPr>
        <w:pBdr>
          <w:top w:val="nil"/>
          <w:left w:val="nil"/>
          <w:bottom w:val="nil"/>
          <w:right w:val="nil"/>
          <w:between w:val="nil"/>
          <w:bar w:val="nil"/>
        </w:pBdr>
        <w:tabs>
          <w:tab w:val="clear" w:pos="720"/>
          <w:tab w:val="num" w:pos="7306"/>
        </w:tabs>
        <w:spacing w:line="240" w:lineRule="auto"/>
        <w:ind w:left="993" w:right="51" w:hanging="283"/>
        <w:rPr>
          <w:rFonts w:eastAsia="Arial" w:cs="Arial"/>
          <w:bdr w:val="nil"/>
          <w:lang w:eastAsia="en-US"/>
        </w:rPr>
      </w:pPr>
      <w:r w:rsidRPr="009943C2">
        <w:rPr>
          <w:rFonts w:eastAsia="Arial" w:cs="Arial"/>
          <w:bdr w:val="nil"/>
          <w:lang w:eastAsia="en-US"/>
        </w:rPr>
        <w:lastRenderedPageBreak/>
        <w:t>o sistema de controles internos é adequado ao porte e à complexidade dos negócios da Ativos S.A. e objeto de permanente atenção por parte da administração;</w:t>
      </w:r>
    </w:p>
    <w:p w:rsidR="009943C2" w:rsidRPr="009943C2" w:rsidRDefault="00A82039" w:rsidP="009943C2">
      <w:pPr>
        <w:keepLines/>
        <w:numPr>
          <w:ilvl w:val="0"/>
          <w:numId w:val="21"/>
        </w:numPr>
        <w:pBdr>
          <w:top w:val="nil"/>
          <w:left w:val="nil"/>
          <w:bottom w:val="nil"/>
          <w:right w:val="nil"/>
          <w:between w:val="nil"/>
          <w:bar w:val="nil"/>
        </w:pBdr>
        <w:tabs>
          <w:tab w:val="clear" w:pos="720"/>
          <w:tab w:val="num" w:pos="7306"/>
        </w:tabs>
        <w:spacing w:line="240" w:lineRule="auto"/>
        <w:ind w:left="993" w:right="51" w:hanging="283"/>
        <w:rPr>
          <w:rFonts w:eastAsia="Arial" w:cs="Arial"/>
          <w:bdr w:val="nil"/>
          <w:lang w:eastAsia="en-US"/>
        </w:rPr>
      </w:pPr>
      <w:r w:rsidRPr="009943C2">
        <w:rPr>
          <w:rFonts w:eastAsia="Arial" w:cs="Arial"/>
          <w:bdr w:val="nil"/>
          <w:lang w:eastAsia="en-US"/>
        </w:rPr>
        <w:t>a Auditoria Interna é efetiva, dispõe de estrutura e orçamento suficientes  ao desempenho de suas funções e atua com independência, objetividade e qualidade;</w:t>
      </w:r>
    </w:p>
    <w:p w:rsidR="009943C2" w:rsidRPr="009943C2" w:rsidRDefault="00A82039" w:rsidP="009943C2">
      <w:pPr>
        <w:keepLines/>
        <w:numPr>
          <w:ilvl w:val="0"/>
          <w:numId w:val="21"/>
        </w:numPr>
        <w:pBdr>
          <w:top w:val="nil"/>
          <w:left w:val="nil"/>
          <w:bottom w:val="nil"/>
          <w:right w:val="nil"/>
          <w:between w:val="nil"/>
          <w:bar w:val="nil"/>
        </w:pBdr>
        <w:tabs>
          <w:tab w:val="clear" w:pos="720"/>
          <w:tab w:val="num" w:pos="7306"/>
        </w:tabs>
        <w:spacing w:line="240" w:lineRule="auto"/>
        <w:ind w:left="993" w:right="51" w:hanging="283"/>
        <w:rPr>
          <w:rFonts w:eastAsia="Arial" w:cs="Arial"/>
          <w:bdr w:val="nil"/>
          <w:lang w:eastAsia="en-US"/>
        </w:rPr>
      </w:pPr>
      <w:r w:rsidRPr="009943C2">
        <w:rPr>
          <w:rFonts w:eastAsia="Arial" w:cs="Arial"/>
          <w:bdr w:val="nil"/>
          <w:lang w:eastAsia="en-US"/>
        </w:rPr>
        <w:t>a Auditoria Independente atua com efetividade e independência;</w:t>
      </w:r>
    </w:p>
    <w:p w:rsidR="009943C2" w:rsidRPr="009943C2" w:rsidRDefault="00A82039" w:rsidP="009943C2">
      <w:pPr>
        <w:keepLines/>
        <w:numPr>
          <w:ilvl w:val="0"/>
          <w:numId w:val="21"/>
        </w:numPr>
        <w:pBdr>
          <w:top w:val="nil"/>
          <w:left w:val="nil"/>
          <w:bottom w:val="nil"/>
          <w:right w:val="nil"/>
          <w:between w:val="nil"/>
          <w:bar w:val="nil"/>
        </w:pBdr>
        <w:tabs>
          <w:tab w:val="clear" w:pos="720"/>
          <w:tab w:val="num" w:pos="7306"/>
        </w:tabs>
        <w:spacing w:line="240" w:lineRule="auto"/>
        <w:ind w:left="993" w:right="51" w:hanging="283"/>
        <w:rPr>
          <w:rFonts w:eastAsia="Arial" w:cs="Arial"/>
          <w:bdr w:val="nil"/>
          <w:lang w:eastAsia="en-US"/>
        </w:rPr>
      </w:pPr>
      <w:r w:rsidRPr="009943C2">
        <w:rPr>
          <w:rFonts w:eastAsia="Arial" w:cs="Arial"/>
          <w:bdr w:val="nil"/>
          <w:lang w:eastAsia="en-US"/>
        </w:rPr>
        <w:t>as transações com partes relacionadas avaliadas e monitoradas no período observaram as normas aplicáveis e as condições de mercado;</w:t>
      </w:r>
    </w:p>
    <w:p w:rsidR="009943C2" w:rsidRPr="009943C2" w:rsidRDefault="00A82039" w:rsidP="009943C2">
      <w:pPr>
        <w:keepLines/>
        <w:numPr>
          <w:ilvl w:val="0"/>
          <w:numId w:val="21"/>
        </w:numPr>
        <w:pBdr>
          <w:top w:val="nil"/>
          <w:left w:val="nil"/>
          <w:bottom w:val="nil"/>
          <w:right w:val="nil"/>
          <w:between w:val="nil"/>
          <w:bar w:val="nil"/>
        </w:pBdr>
        <w:tabs>
          <w:tab w:val="clear" w:pos="720"/>
          <w:tab w:val="num" w:pos="7306"/>
        </w:tabs>
        <w:spacing w:line="240" w:lineRule="auto"/>
        <w:ind w:left="993" w:right="51" w:hanging="283"/>
        <w:rPr>
          <w:rFonts w:eastAsia="Arial" w:cs="Arial"/>
          <w:bdr w:val="nil"/>
          <w:lang w:eastAsia="en-US"/>
        </w:rPr>
      </w:pPr>
      <w:r w:rsidRPr="009943C2">
        <w:rPr>
          <w:rFonts w:eastAsia="Arial" w:cs="Arial"/>
          <w:bdr w:val="nil"/>
          <w:lang w:eastAsia="en-US"/>
        </w:rPr>
        <w:t>as principais exposições de risco vêm sendo gerenciadas adequadamente pela administração;</w:t>
      </w:r>
    </w:p>
    <w:p w:rsidR="009943C2" w:rsidRPr="009943C2" w:rsidRDefault="00A82039" w:rsidP="009943C2">
      <w:pPr>
        <w:keepLines/>
        <w:numPr>
          <w:ilvl w:val="0"/>
          <w:numId w:val="21"/>
        </w:numPr>
        <w:pBdr>
          <w:top w:val="nil"/>
          <w:left w:val="nil"/>
          <w:bottom w:val="nil"/>
          <w:right w:val="nil"/>
          <w:between w:val="nil"/>
          <w:bar w:val="nil"/>
        </w:pBdr>
        <w:tabs>
          <w:tab w:val="clear" w:pos="720"/>
          <w:tab w:val="num" w:pos="7306"/>
        </w:tabs>
        <w:spacing w:line="240" w:lineRule="auto"/>
        <w:ind w:left="993" w:right="51" w:hanging="283"/>
        <w:rPr>
          <w:rFonts w:eastAsia="Arial" w:cs="Arial"/>
          <w:bdr w:val="nil"/>
          <w:lang w:eastAsia="en-US"/>
        </w:rPr>
      </w:pPr>
      <w:r w:rsidRPr="009943C2">
        <w:rPr>
          <w:rFonts w:eastAsia="Arial" w:cs="Arial"/>
          <w:bdr w:val="nil"/>
          <w:lang w:eastAsia="en-US"/>
        </w:rPr>
        <w:t>as demonstrações contábeis apresentam adequadamente, em todos os aspectos relevantes, a posição patrimonial e financeira da Ativos S.A. em 31/12/2019, de acordo com as práticas contábeis adotadas no Brasil.</w:t>
      </w:r>
    </w:p>
    <w:p w:rsidR="009943C2" w:rsidRPr="009943C2" w:rsidRDefault="009943C2" w:rsidP="009943C2">
      <w:pPr>
        <w:keepNext/>
        <w:keepLines/>
        <w:pBdr>
          <w:top w:val="nil"/>
          <w:left w:val="nil"/>
          <w:bottom w:val="nil"/>
          <w:right w:val="nil"/>
          <w:between w:val="nil"/>
          <w:bar w:val="nil"/>
        </w:pBdr>
        <w:spacing w:line="360" w:lineRule="auto"/>
        <w:ind w:left="425" w:right="51" w:firstLine="346"/>
        <w:outlineLvl w:val="2"/>
        <w:rPr>
          <w:rFonts w:eastAsia="Arial" w:cs="Arial"/>
          <w:b/>
          <w:color w:val="4F81BD"/>
          <w:bdr w:val="nil"/>
        </w:rPr>
      </w:pPr>
    </w:p>
    <w:p w:rsidR="009943C2" w:rsidRPr="009943C2" w:rsidRDefault="00A82039" w:rsidP="009943C2">
      <w:pPr>
        <w:keepNext/>
        <w:keepLines/>
        <w:pBdr>
          <w:top w:val="nil"/>
          <w:left w:val="nil"/>
          <w:bottom w:val="nil"/>
          <w:right w:val="nil"/>
          <w:between w:val="nil"/>
          <w:bar w:val="nil"/>
        </w:pBdr>
        <w:spacing w:line="360" w:lineRule="auto"/>
        <w:ind w:left="425" w:right="51" w:firstLine="346"/>
        <w:outlineLvl w:val="2"/>
        <w:rPr>
          <w:rFonts w:eastAsia="Arial" w:cs="Arial"/>
          <w:bCs/>
          <w:color w:val="4F81BD"/>
          <w:bdr w:val="nil"/>
        </w:rPr>
      </w:pPr>
      <w:r w:rsidRPr="009943C2">
        <w:rPr>
          <w:rFonts w:eastAsia="Arial" w:cs="Arial"/>
          <w:b/>
          <w:color w:val="4F81BD"/>
          <w:bdr w:val="nil"/>
        </w:rPr>
        <w:t xml:space="preserve">                  </w:t>
      </w:r>
      <w:r w:rsidRPr="009943C2">
        <w:rPr>
          <w:rFonts w:eastAsia="Arial" w:cs="Arial"/>
          <w:bdr w:val="nil"/>
        </w:rPr>
        <w:t>Brasília-DF, 21 de fevereiro de 2020.</w:t>
      </w:r>
    </w:p>
    <w:p w:rsidR="00EE1483" w:rsidRPr="00EE1483" w:rsidRDefault="00EE1483" w:rsidP="00EE1483">
      <w:pPr>
        <w:keepLines/>
        <w:pBdr>
          <w:top w:val="nil"/>
          <w:left w:val="nil"/>
          <w:bottom w:val="nil"/>
          <w:right w:val="nil"/>
          <w:between w:val="nil"/>
          <w:bar w:val="nil"/>
        </w:pBdr>
        <w:tabs>
          <w:tab w:val="left" w:pos="0"/>
          <w:tab w:val="right" w:pos="9497"/>
        </w:tabs>
        <w:spacing w:line="360" w:lineRule="auto"/>
        <w:ind w:left="425" w:right="51" w:firstLine="346"/>
        <w:rPr>
          <w:rFonts w:eastAsia="Arial" w:cs="Arial"/>
          <w:spacing w:val="-6"/>
          <w:bdr w:val="nil"/>
          <w:lang w:val="en-US" w:eastAsia="en-US"/>
        </w:rPr>
      </w:pPr>
    </w:p>
    <w:p w:rsidR="00751245" w:rsidRDefault="00751245" w:rsidP="00751245">
      <w:pPr>
        <w:pStyle w:val="Ttulo3"/>
        <w:pBdr>
          <w:top w:val="nil"/>
          <w:left w:val="nil"/>
          <w:bottom w:val="nil"/>
          <w:right w:val="nil"/>
          <w:between w:val="nil"/>
          <w:bar w:val="nil"/>
        </w:pBdr>
        <w:spacing w:before="200"/>
        <w:ind w:left="3600" w:right="49"/>
        <w:jc w:val="both"/>
        <w:rPr>
          <w:rFonts w:ascii="Arial" w:eastAsia="Arial" w:hAnsi="Arial" w:cs="Arial"/>
          <w:color w:val="auto"/>
          <w:sz w:val="18"/>
          <w:szCs w:val="18"/>
          <w:bdr w:val="nil"/>
        </w:rPr>
      </w:pPr>
    </w:p>
    <w:p w:rsidR="00EE1483" w:rsidRPr="00EE1483" w:rsidRDefault="00A82039" w:rsidP="00751245">
      <w:pPr>
        <w:pStyle w:val="Ttulo3"/>
        <w:pBdr>
          <w:top w:val="nil"/>
          <w:left w:val="nil"/>
          <w:bottom w:val="nil"/>
          <w:right w:val="nil"/>
          <w:between w:val="nil"/>
          <w:bar w:val="nil"/>
        </w:pBdr>
        <w:spacing w:before="200"/>
        <w:ind w:left="3600" w:right="49"/>
        <w:jc w:val="both"/>
        <w:rPr>
          <w:rFonts w:ascii="Arial" w:eastAsia="Arial" w:hAnsi="Arial" w:cs="Arial"/>
          <w:color w:val="auto"/>
          <w:sz w:val="18"/>
          <w:szCs w:val="18"/>
          <w:bdr w:val="nil"/>
        </w:rPr>
      </w:pPr>
      <w:r>
        <w:rPr>
          <w:rFonts w:ascii="Arial" w:eastAsia="Arial" w:hAnsi="Arial" w:cs="Arial"/>
          <w:color w:val="auto"/>
          <w:sz w:val="18"/>
          <w:szCs w:val="18"/>
          <w:bdr w:val="nil"/>
        </w:rPr>
        <w:t xml:space="preserve">           </w:t>
      </w:r>
      <w:r w:rsidRPr="00EE1483">
        <w:rPr>
          <w:rFonts w:ascii="Arial" w:eastAsia="Arial" w:hAnsi="Arial" w:cs="Arial"/>
          <w:color w:val="auto"/>
          <w:sz w:val="18"/>
          <w:szCs w:val="18"/>
          <w:bdr w:val="nil"/>
        </w:rPr>
        <w:t>Antônio Carlos Correia</w:t>
      </w:r>
    </w:p>
    <w:p w:rsidR="00EE1483" w:rsidRPr="00EE1483" w:rsidRDefault="00EE1483" w:rsidP="00EE1483">
      <w:pPr>
        <w:keepLines/>
        <w:pBdr>
          <w:top w:val="nil"/>
          <w:left w:val="nil"/>
          <w:bottom w:val="nil"/>
          <w:right w:val="nil"/>
          <w:between w:val="nil"/>
          <w:bar w:val="nil"/>
        </w:pBdr>
        <w:tabs>
          <w:tab w:val="left" w:pos="0"/>
          <w:tab w:val="right" w:pos="9497"/>
        </w:tabs>
        <w:spacing w:before="0" w:after="200"/>
        <w:rPr>
          <w:rFonts w:eastAsia="Arial" w:cs="Arial"/>
          <w:spacing w:val="-6"/>
          <w:bdr w:val="nil"/>
          <w:lang w:val="en-US" w:eastAsia="en-US"/>
        </w:rPr>
      </w:pPr>
    </w:p>
    <w:p w:rsidR="00EE1483" w:rsidRPr="00EE1483" w:rsidRDefault="00EE1483" w:rsidP="00EE1483">
      <w:pPr>
        <w:keepLines/>
        <w:pBdr>
          <w:top w:val="nil"/>
          <w:left w:val="nil"/>
          <w:bottom w:val="nil"/>
          <w:right w:val="nil"/>
          <w:between w:val="nil"/>
          <w:bar w:val="nil"/>
        </w:pBdr>
        <w:tabs>
          <w:tab w:val="left" w:pos="0"/>
          <w:tab w:val="right" w:pos="9497"/>
        </w:tabs>
        <w:spacing w:before="0" w:after="200"/>
        <w:rPr>
          <w:rFonts w:eastAsia="Arial" w:cs="Arial"/>
          <w:spacing w:val="-6"/>
          <w:bdr w:val="nil"/>
          <w:lang w:val="en-US" w:eastAsia="en-US"/>
        </w:rPr>
      </w:pPr>
    </w:p>
    <w:p w:rsidR="00EE1483" w:rsidRPr="00EE1483" w:rsidRDefault="00A82039" w:rsidP="00EE1483">
      <w:pPr>
        <w:keepLines/>
        <w:pBdr>
          <w:top w:val="nil"/>
          <w:left w:val="nil"/>
          <w:bottom w:val="nil"/>
          <w:right w:val="nil"/>
          <w:between w:val="nil"/>
          <w:bar w:val="nil"/>
        </w:pBdr>
        <w:tabs>
          <w:tab w:val="left" w:pos="0"/>
          <w:tab w:val="right" w:pos="9497"/>
        </w:tabs>
        <w:spacing w:before="0" w:after="200"/>
        <w:rPr>
          <w:rFonts w:eastAsia="Arial" w:cs="Arial"/>
          <w:spacing w:val="-6"/>
          <w:bdr w:val="nil"/>
          <w:lang w:val="en-US" w:eastAsia="en-US"/>
        </w:rPr>
      </w:pPr>
      <w:r>
        <w:rPr>
          <w:rFonts w:eastAsia="Arial" w:cs="Arial"/>
          <w:spacing w:val="-6"/>
          <w:bdr w:val="nil"/>
          <w:lang w:val="en-US" w:eastAsia="en-US"/>
        </w:rPr>
        <w:t xml:space="preserve"> </w:t>
      </w:r>
    </w:p>
    <w:p w:rsidR="00EE1483" w:rsidRPr="00EE1483" w:rsidRDefault="00EE1483" w:rsidP="00EE1483">
      <w:pPr>
        <w:keepLines/>
        <w:pBdr>
          <w:top w:val="nil"/>
          <w:left w:val="nil"/>
          <w:bottom w:val="nil"/>
          <w:right w:val="nil"/>
          <w:between w:val="nil"/>
          <w:bar w:val="nil"/>
        </w:pBdr>
        <w:tabs>
          <w:tab w:val="left" w:pos="0"/>
          <w:tab w:val="right" w:pos="9497"/>
        </w:tabs>
        <w:spacing w:before="0" w:after="200"/>
        <w:rPr>
          <w:rFonts w:eastAsia="Arial" w:cs="Arial"/>
          <w:spacing w:val="-6"/>
          <w:bdr w:val="nil"/>
          <w:lang w:val="en-US" w:eastAsia="en-US"/>
        </w:rPr>
      </w:pPr>
    </w:p>
    <w:p w:rsidR="00EE1483" w:rsidRPr="00EE1483" w:rsidRDefault="00A82039" w:rsidP="00751245">
      <w:pPr>
        <w:pStyle w:val="Ttulo3"/>
        <w:pBdr>
          <w:top w:val="nil"/>
          <w:left w:val="nil"/>
          <w:bottom w:val="nil"/>
          <w:right w:val="nil"/>
          <w:between w:val="nil"/>
          <w:bar w:val="nil"/>
        </w:pBdr>
        <w:shd w:val="clear" w:color="auto" w:fill="FFFFFF"/>
        <w:spacing w:before="200"/>
        <w:ind w:left="720" w:right="49" w:firstLine="720"/>
        <w:jc w:val="both"/>
        <w:rPr>
          <w:rFonts w:ascii="Arial" w:eastAsia="Arial" w:hAnsi="Arial" w:cs="Arial"/>
          <w:color w:val="auto"/>
          <w:sz w:val="18"/>
          <w:szCs w:val="18"/>
          <w:bdr w:val="nil"/>
        </w:rPr>
      </w:pPr>
      <w:r w:rsidRPr="00EE1483">
        <w:rPr>
          <w:rFonts w:ascii="Arial" w:eastAsia="Arial" w:hAnsi="Arial" w:cs="Arial"/>
          <w:color w:val="auto"/>
          <w:sz w:val="18"/>
          <w:szCs w:val="18"/>
          <w:bdr w:val="nil"/>
        </w:rPr>
        <w:t xml:space="preserve">Luiz </w:t>
      </w:r>
      <w:r>
        <w:rPr>
          <w:rFonts w:ascii="Arial" w:eastAsia="Arial" w:hAnsi="Arial" w:cs="Arial"/>
          <w:color w:val="auto"/>
          <w:sz w:val="18"/>
          <w:szCs w:val="18"/>
          <w:bdr w:val="nil"/>
        </w:rPr>
        <w:t xml:space="preserve">Serafim Spinola Santos   </w:t>
      </w:r>
      <w:r>
        <w:rPr>
          <w:rFonts w:ascii="Arial" w:eastAsia="Arial" w:hAnsi="Arial" w:cs="Arial"/>
          <w:color w:val="auto"/>
          <w:sz w:val="18"/>
          <w:szCs w:val="18"/>
          <w:bdr w:val="nil"/>
        </w:rPr>
        <w:tab/>
      </w:r>
      <w:r>
        <w:rPr>
          <w:rFonts w:ascii="Arial" w:eastAsia="Arial" w:hAnsi="Arial" w:cs="Arial"/>
          <w:color w:val="auto"/>
          <w:sz w:val="18"/>
          <w:szCs w:val="18"/>
          <w:bdr w:val="nil"/>
        </w:rPr>
        <w:tab/>
      </w:r>
      <w:r>
        <w:rPr>
          <w:rFonts w:ascii="Arial" w:eastAsia="Arial" w:hAnsi="Arial" w:cs="Arial"/>
          <w:color w:val="auto"/>
          <w:sz w:val="18"/>
          <w:szCs w:val="18"/>
          <w:bdr w:val="nil"/>
        </w:rPr>
        <w:tab/>
      </w:r>
      <w:r>
        <w:rPr>
          <w:rFonts w:ascii="Arial" w:eastAsia="Arial" w:hAnsi="Arial" w:cs="Arial"/>
          <w:color w:val="auto"/>
          <w:sz w:val="18"/>
          <w:szCs w:val="18"/>
          <w:bdr w:val="nil"/>
        </w:rPr>
        <w:tab/>
      </w:r>
      <w:r w:rsidRPr="00EE1483">
        <w:rPr>
          <w:rFonts w:ascii="Arial" w:eastAsia="Arial" w:hAnsi="Arial" w:cs="Arial"/>
          <w:color w:val="auto"/>
          <w:sz w:val="18"/>
          <w:szCs w:val="18"/>
          <w:bdr w:val="nil"/>
        </w:rPr>
        <w:t>Marcos Tadeu de Siqueira</w:t>
      </w:r>
    </w:p>
    <w:p w:rsidR="00D86095" w:rsidRPr="005F4D42" w:rsidRDefault="00D86095" w:rsidP="00EE1483">
      <w:pPr>
        <w:pStyle w:val="PargrafodaLista"/>
        <w:keepLines/>
        <w:pBdr>
          <w:top w:val="nil"/>
          <w:left w:val="nil"/>
          <w:bottom w:val="nil"/>
          <w:right w:val="nil"/>
          <w:between w:val="nil"/>
          <w:bar w:val="nil"/>
        </w:pBdr>
        <w:spacing w:before="240" w:after="160" w:line="256" w:lineRule="auto"/>
        <w:ind w:left="714"/>
        <w:contextualSpacing w:val="0"/>
        <w:jc w:val="both"/>
        <w:rPr>
          <w:rFonts w:ascii="Arial" w:eastAsia="Arial" w:hAnsi="Arial" w:cs="Arial"/>
          <w:sz w:val="18"/>
          <w:szCs w:val="18"/>
          <w:bdr w:val="nil"/>
        </w:rPr>
      </w:pPr>
    </w:p>
    <w:p w:rsidR="007E78BE" w:rsidRPr="007E78BE" w:rsidRDefault="00A82039" w:rsidP="007E78BE">
      <w:pPr>
        <w:keepLines/>
        <w:pageBreakBefore/>
        <w:pBdr>
          <w:top w:val="nil"/>
          <w:left w:val="nil"/>
          <w:bottom w:val="nil"/>
          <w:right w:val="nil"/>
          <w:between w:val="nil"/>
          <w:bar w:val="nil"/>
        </w:pBdr>
        <w:spacing w:before="0" w:after="0" w:line="240" w:lineRule="auto"/>
        <w:jc w:val="center"/>
        <w:rPr>
          <w:rFonts w:cs="Arial"/>
          <w:b/>
          <w:szCs w:val="24"/>
          <w:bdr w:val="nil"/>
        </w:rPr>
      </w:pPr>
      <w:r w:rsidRPr="007E78BE">
        <w:rPr>
          <w:rFonts w:cs="Arial"/>
          <w:b/>
          <w:szCs w:val="24"/>
          <w:bdr w:val="nil"/>
        </w:rPr>
        <w:lastRenderedPageBreak/>
        <w:t>Manifestação do Conselho de Administração</w:t>
      </w:r>
    </w:p>
    <w:p w:rsidR="007E78BE" w:rsidRPr="007E78BE" w:rsidRDefault="007E78BE" w:rsidP="007E78BE">
      <w:pPr>
        <w:keepLines/>
        <w:pBdr>
          <w:top w:val="nil"/>
          <w:left w:val="nil"/>
          <w:bottom w:val="nil"/>
          <w:right w:val="nil"/>
          <w:between w:val="nil"/>
          <w:bar w:val="nil"/>
        </w:pBdr>
        <w:spacing w:before="0" w:after="0" w:line="240" w:lineRule="auto"/>
        <w:jc w:val="center"/>
        <w:rPr>
          <w:rFonts w:cs="Arial"/>
          <w:b/>
          <w:szCs w:val="24"/>
          <w:bdr w:val="nil"/>
        </w:rPr>
      </w:pPr>
    </w:p>
    <w:p w:rsidR="007E78BE" w:rsidRPr="007E78BE" w:rsidRDefault="007E78BE" w:rsidP="007E78BE">
      <w:pPr>
        <w:keepLines/>
        <w:pBdr>
          <w:top w:val="nil"/>
          <w:left w:val="nil"/>
          <w:bottom w:val="nil"/>
          <w:right w:val="nil"/>
          <w:between w:val="nil"/>
          <w:bar w:val="nil"/>
        </w:pBdr>
        <w:spacing w:before="0" w:after="0" w:line="240" w:lineRule="auto"/>
        <w:jc w:val="center"/>
        <w:rPr>
          <w:rFonts w:cs="Arial"/>
          <w:b/>
          <w:szCs w:val="24"/>
          <w:bdr w:val="nil"/>
        </w:rPr>
      </w:pPr>
    </w:p>
    <w:p w:rsidR="000D5A7E" w:rsidRPr="000D5A7E" w:rsidRDefault="00A82039" w:rsidP="000D5A7E">
      <w:pPr>
        <w:keepLines/>
        <w:pBdr>
          <w:top w:val="nil"/>
          <w:left w:val="nil"/>
          <w:bottom w:val="nil"/>
          <w:right w:val="nil"/>
          <w:between w:val="nil"/>
          <w:bar w:val="nil"/>
        </w:pBdr>
        <w:spacing w:before="0" w:after="0" w:line="360" w:lineRule="auto"/>
        <w:rPr>
          <w:rFonts w:cs="Arial"/>
          <w:bdr w:val="nil"/>
        </w:rPr>
      </w:pPr>
      <w:r w:rsidRPr="000D5A7E">
        <w:rPr>
          <w:rFonts w:cs="Arial"/>
          <w:bdr w:val="nil"/>
        </w:rPr>
        <w:t>Em conformidade com o inciso V do artigo 142 da Lei 6.404, de 15/12/1976, o Conselho de Administração da Ativos S.A. Securitizadora de Créditos Financeiros declara que, em reunião nesta data, tomou conhecimento das contas da Diretoria Executiva e do Relatório de Administração 2019, e recomenda à Assembleia Geral dos Acionistas a aprovação das contas relativas ao exercício de 2019.</w:t>
      </w:r>
    </w:p>
    <w:p w:rsidR="000D5A7E" w:rsidRPr="000D5A7E" w:rsidRDefault="000D5A7E" w:rsidP="000D5A7E">
      <w:pPr>
        <w:keepLines/>
        <w:pBdr>
          <w:top w:val="nil"/>
          <w:left w:val="nil"/>
          <w:bottom w:val="nil"/>
          <w:right w:val="nil"/>
          <w:between w:val="nil"/>
          <w:bar w:val="nil"/>
        </w:pBdr>
        <w:spacing w:before="0" w:after="0" w:line="240" w:lineRule="auto"/>
        <w:rPr>
          <w:rFonts w:cs="Arial"/>
          <w:bdr w:val="nil"/>
        </w:rPr>
      </w:pPr>
    </w:p>
    <w:p w:rsidR="000D5A7E" w:rsidRPr="000D5A7E" w:rsidRDefault="000D5A7E" w:rsidP="000D5A7E">
      <w:pPr>
        <w:keepLines/>
        <w:pBdr>
          <w:top w:val="nil"/>
          <w:left w:val="nil"/>
          <w:bottom w:val="nil"/>
          <w:right w:val="nil"/>
          <w:between w:val="nil"/>
          <w:bar w:val="nil"/>
        </w:pBdr>
        <w:spacing w:before="0" w:after="0" w:line="240" w:lineRule="auto"/>
        <w:rPr>
          <w:rFonts w:cs="Arial"/>
          <w:bdr w:val="nil"/>
        </w:rPr>
      </w:pPr>
    </w:p>
    <w:p w:rsidR="000D5A7E" w:rsidRPr="000D5A7E" w:rsidRDefault="00A82039" w:rsidP="000D5A7E">
      <w:pPr>
        <w:keepLines/>
        <w:pBdr>
          <w:top w:val="nil"/>
          <w:left w:val="nil"/>
          <w:bottom w:val="nil"/>
          <w:right w:val="nil"/>
          <w:between w:val="nil"/>
          <w:bar w:val="nil"/>
        </w:pBdr>
        <w:spacing w:before="0" w:after="0" w:line="360" w:lineRule="auto"/>
        <w:ind w:right="-568"/>
        <w:jc w:val="center"/>
        <w:rPr>
          <w:rFonts w:cs="Arial"/>
          <w:bdr w:val="nil"/>
        </w:rPr>
      </w:pPr>
      <w:r w:rsidRPr="000D5A7E">
        <w:rPr>
          <w:rFonts w:cs="Arial"/>
          <w:bdr w:val="nil"/>
        </w:rPr>
        <w:t>Brasília (DF), 21 de fevereiro de 2020.</w:t>
      </w:r>
    </w:p>
    <w:p w:rsidR="007E78BE" w:rsidRPr="007E78BE" w:rsidRDefault="007E78BE" w:rsidP="007E78BE">
      <w:pPr>
        <w:keepLines/>
        <w:pBdr>
          <w:top w:val="nil"/>
          <w:left w:val="nil"/>
          <w:bottom w:val="nil"/>
          <w:right w:val="nil"/>
          <w:between w:val="nil"/>
          <w:bar w:val="nil"/>
        </w:pBdr>
        <w:spacing w:before="0" w:after="0" w:line="240" w:lineRule="auto"/>
        <w:ind w:right="-568"/>
        <w:jc w:val="center"/>
        <w:rPr>
          <w:rFonts w:cs="Arial"/>
          <w:szCs w:val="24"/>
          <w:bdr w:val="nil"/>
        </w:rPr>
      </w:pPr>
    </w:p>
    <w:p w:rsidR="007E78BE" w:rsidRPr="007E78BE" w:rsidRDefault="007E78BE" w:rsidP="007E78BE">
      <w:pPr>
        <w:keepLines/>
        <w:pBdr>
          <w:top w:val="nil"/>
          <w:left w:val="nil"/>
          <w:bottom w:val="nil"/>
          <w:right w:val="nil"/>
          <w:between w:val="nil"/>
          <w:bar w:val="nil"/>
        </w:pBdr>
        <w:spacing w:before="0" w:after="0" w:line="240" w:lineRule="auto"/>
        <w:ind w:right="-568"/>
        <w:jc w:val="center"/>
        <w:rPr>
          <w:rFonts w:cs="Arial"/>
          <w:szCs w:val="24"/>
          <w:bdr w:val="nil"/>
        </w:rPr>
      </w:pPr>
    </w:p>
    <w:p w:rsidR="007E78BE" w:rsidRPr="007E78BE" w:rsidRDefault="007E78BE" w:rsidP="007E78BE">
      <w:pPr>
        <w:pStyle w:val="PargrafodaLista"/>
        <w:keepLines/>
        <w:pBdr>
          <w:top w:val="nil"/>
          <w:left w:val="nil"/>
          <w:bottom w:val="nil"/>
          <w:right w:val="nil"/>
          <w:between w:val="nil"/>
          <w:bar w:val="nil"/>
        </w:pBdr>
        <w:autoSpaceDE w:val="0"/>
        <w:autoSpaceDN w:val="0"/>
        <w:adjustRightInd w:val="0"/>
        <w:spacing w:after="0" w:line="240" w:lineRule="auto"/>
        <w:ind w:left="0" w:firstLine="567"/>
        <w:jc w:val="center"/>
        <w:rPr>
          <w:rFonts w:ascii="Arial" w:hAnsi="Arial" w:cs="Arial"/>
          <w:sz w:val="18"/>
          <w:szCs w:val="24"/>
          <w:bdr w:val="nil"/>
        </w:rPr>
      </w:pPr>
    </w:p>
    <w:p w:rsidR="007E78BE" w:rsidRPr="007E78BE" w:rsidRDefault="007E78BE" w:rsidP="007E78BE">
      <w:pPr>
        <w:pStyle w:val="PargrafodaLista"/>
        <w:keepLines/>
        <w:pBdr>
          <w:top w:val="nil"/>
          <w:left w:val="nil"/>
          <w:bottom w:val="nil"/>
          <w:right w:val="nil"/>
          <w:between w:val="nil"/>
          <w:bar w:val="nil"/>
        </w:pBdr>
        <w:autoSpaceDE w:val="0"/>
        <w:autoSpaceDN w:val="0"/>
        <w:adjustRightInd w:val="0"/>
        <w:spacing w:after="0" w:line="240" w:lineRule="auto"/>
        <w:ind w:left="0" w:firstLine="567"/>
        <w:jc w:val="center"/>
        <w:rPr>
          <w:rFonts w:ascii="Arial" w:hAnsi="Arial" w:cs="Arial"/>
          <w:sz w:val="18"/>
          <w:szCs w:val="24"/>
          <w:bdr w:val="nil"/>
        </w:rPr>
      </w:pPr>
    </w:p>
    <w:tbl>
      <w:tblPr>
        <w:tblW w:w="9214" w:type="dxa"/>
        <w:tblLook w:val="04A0" w:firstRow="1" w:lastRow="0" w:firstColumn="1" w:lastColumn="0" w:noHBand="0" w:noVBand="1"/>
      </w:tblPr>
      <w:tblGrid>
        <w:gridCol w:w="4786"/>
        <w:gridCol w:w="4428"/>
      </w:tblGrid>
      <w:tr w:rsidR="00566CE2" w:rsidTr="007E78BE">
        <w:tc>
          <w:tcPr>
            <w:tcW w:w="4786" w:type="dxa"/>
            <w:hideMark/>
          </w:tcPr>
          <w:p w:rsidR="007E78BE" w:rsidRPr="007E78BE" w:rsidRDefault="00A82039" w:rsidP="007E78BE">
            <w:pPr>
              <w:pStyle w:val="Corpodetexto"/>
              <w:widowControl/>
              <w:pBdr>
                <w:top w:val="nil"/>
                <w:left w:val="nil"/>
                <w:bottom w:val="nil"/>
                <w:right w:val="nil"/>
                <w:between w:val="nil"/>
                <w:bar w:val="nil"/>
              </w:pBdr>
              <w:spacing w:line="276" w:lineRule="auto"/>
              <w:ind w:left="0" w:firstLine="0"/>
              <w:jc w:val="center"/>
              <w:rPr>
                <w:rFonts w:cs="Arial"/>
                <w:sz w:val="18"/>
                <w:bdr w:val="nil"/>
                <w:lang w:val="pt-BR"/>
              </w:rPr>
            </w:pPr>
            <w:r w:rsidRPr="007E78BE">
              <w:rPr>
                <w:rFonts w:ascii="Arial" w:hAnsi="Arial" w:cs="Arial"/>
                <w:b/>
                <w:sz w:val="18"/>
                <w:bdr w:val="nil"/>
                <w:lang w:val="pt-BR"/>
              </w:rPr>
              <w:t>Marco Túlio de Oliveira Mendonça</w:t>
            </w:r>
          </w:p>
        </w:tc>
        <w:tc>
          <w:tcPr>
            <w:tcW w:w="4428" w:type="dxa"/>
            <w:hideMark/>
          </w:tcPr>
          <w:p w:rsidR="007E78BE" w:rsidRPr="007E78BE" w:rsidRDefault="00A82039" w:rsidP="007E78BE">
            <w:pPr>
              <w:pStyle w:val="Corpodetexto"/>
              <w:widowControl/>
              <w:pBdr>
                <w:top w:val="nil"/>
                <w:left w:val="nil"/>
                <w:bottom w:val="nil"/>
                <w:right w:val="nil"/>
                <w:between w:val="nil"/>
                <w:bar w:val="nil"/>
              </w:pBdr>
              <w:spacing w:line="276" w:lineRule="auto"/>
              <w:ind w:left="0" w:firstLine="0"/>
              <w:jc w:val="center"/>
              <w:rPr>
                <w:rFonts w:cs="Arial"/>
                <w:b/>
                <w:sz w:val="18"/>
                <w:bdr w:val="nil"/>
                <w:lang w:val="pt-BR"/>
              </w:rPr>
            </w:pPr>
            <w:r>
              <w:rPr>
                <w:rFonts w:ascii="Arial" w:hAnsi="Arial" w:cs="Arial"/>
                <w:b/>
                <w:sz w:val="18"/>
                <w:bdr w:val="nil"/>
                <w:lang w:val="pt-BR"/>
              </w:rPr>
              <w:t>Ronaldo Simon Ferreira</w:t>
            </w:r>
          </w:p>
        </w:tc>
      </w:tr>
      <w:tr w:rsidR="00566CE2" w:rsidTr="007E78BE">
        <w:tc>
          <w:tcPr>
            <w:tcW w:w="4786" w:type="dxa"/>
            <w:hideMark/>
          </w:tcPr>
          <w:p w:rsidR="007E78BE" w:rsidRPr="007E78BE" w:rsidRDefault="00A82039" w:rsidP="007E78BE">
            <w:pPr>
              <w:pStyle w:val="Corpodetexto"/>
              <w:widowControl/>
              <w:pBdr>
                <w:top w:val="nil"/>
                <w:left w:val="nil"/>
                <w:bottom w:val="nil"/>
                <w:right w:val="nil"/>
                <w:between w:val="nil"/>
                <w:bar w:val="nil"/>
              </w:pBdr>
              <w:spacing w:line="276" w:lineRule="auto"/>
              <w:ind w:left="0" w:firstLine="0"/>
              <w:jc w:val="center"/>
              <w:rPr>
                <w:rFonts w:cs="Arial"/>
                <w:sz w:val="18"/>
                <w:bdr w:val="nil"/>
                <w:lang w:val="pt-BR"/>
              </w:rPr>
            </w:pPr>
            <w:r w:rsidRPr="007E78BE">
              <w:rPr>
                <w:rFonts w:ascii="Arial" w:hAnsi="Arial" w:cs="Arial"/>
                <w:sz w:val="18"/>
                <w:bdr w:val="nil"/>
                <w:lang w:val="pt-BR"/>
              </w:rPr>
              <w:t>Presidente do Conselho</w:t>
            </w:r>
          </w:p>
        </w:tc>
        <w:tc>
          <w:tcPr>
            <w:tcW w:w="4428" w:type="dxa"/>
            <w:hideMark/>
          </w:tcPr>
          <w:p w:rsidR="007E78BE" w:rsidRPr="007E78BE" w:rsidRDefault="00A82039" w:rsidP="007E78BE">
            <w:pPr>
              <w:pStyle w:val="Corpodetexto"/>
              <w:widowControl/>
              <w:pBdr>
                <w:top w:val="nil"/>
                <w:left w:val="nil"/>
                <w:bottom w:val="nil"/>
                <w:right w:val="nil"/>
                <w:between w:val="nil"/>
                <w:bar w:val="nil"/>
              </w:pBdr>
              <w:spacing w:line="276" w:lineRule="auto"/>
              <w:ind w:left="0" w:firstLine="0"/>
              <w:jc w:val="center"/>
              <w:rPr>
                <w:rFonts w:cs="Arial"/>
                <w:sz w:val="18"/>
                <w:bdr w:val="nil"/>
                <w:lang w:val="pt-BR"/>
              </w:rPr>
            </w:pPr>
            <w:r w:rsidRPr="007E78BE">
              <w:rPr>
                <w:rFonts w:ascii="Arial" w:hAnsi="Arial" w:cs="Arial"/>
                <w:sz w:val="18"/>
                <w:bdr w:val="nil"/>
                <w:lang w:val="pt-BR"/>
              </w:rPr>
              <w:t>Vice-Presidente do Conselho</w:t>
            </w:r>
          </w:p>
        </w:tc>
      </w:tr>
    </w:tbl>
    <w:p w:rsidR="007E78BE" w:rsidRPr="007E78BE" w:rsidRDefault="007E78BE" w:rsidP="007E78BE">
      <w:pPr>
        <w:pStyle w:val="Corpodetexto"/>
        <w:keepLines/>
        <w:widowControl/>
        <w:pBdr>
          <w:top w:val="nil"/>
          <w:left w:val="nil"/>
          <w:bottom w:val="nil"/>
          <w:right w:val="nil"/>
          <w:between w:val="nil"/>
          <w:bar w:val="nil"/>
        </w:pBdr>
        <w:spacing w:line="360" w:lineRule="auto"/>
        <w:ind w:left="0" w:firstLine="0"/>
        <w:jc w:val="center"/>
        <w:rPr>
          <w:rFonts w:cs="Arial"/>
          <w:sz w:val="18"/>
          <w:bdr w:val="nil"/>
          <w:lang w:val="pt-BR" w:eastAsia="pt-BR"/>
        </w:rPr>
      </w:pPr>
    </w:p>
    <w:p w:rsidR="007E78BE" w:rsidRPr="007E78BE" w:rsidRDefault="007E78BE" w:rsidP="007E78BE">
      <w:pPr>
        <w:pStyle w:val="Corpodetexto"/>
        <w:keepLines/>
        <w:widowControl/>
        <w:pBdr>
          <w:top w:val="nil"/>
          <w:left w:val="nil"/>
          <w:bottom w:val="nil"/>
          <w:right w:val="nil"/>
          <w:between w:val="nil"/>
          <w:bar w:val="nil"/>
        </w:pBdr>
        <w:spacing w:line="360" w:lineRule="auto"/>
        <w:ind w:left="0" w:firstLine="0"/>
        <w:jc w:val="center"/>
        <w:rPr>
          <w:rFonts w:cs="Arial"/>
          <w:sz w:val="18"/>
          <w:bdr w:val="nil"/>
          <w:lang w:val="pt-BR" w:eastAsia="pt-BR"/>
        </w:rPr>
      </w:pPr>
    </w:p>
    <w:p w:rsidR="007E78BE" w:rsidRPr="007E78BE" w:rsidRDefault="007E78BE" w:rsidP="007E78BE">
      <w:pPr>
        <w:pStyle w:val="Corpodetexto"/>
        <w:keepLines/>
        <w:widowControl/>
        <w:pBdr>
          <w:top w:val="nil"/>
          <w:left w:val="nil"/>
          <w:bottom w:val="nil"/>
          <w:right w:val="nil"/>
          <w:between w:val="nil"/>
          <w:bar w:val="nil"/>
        </w:pBdr>
        <w:spacing w:line="360" w:lineRule="auto"/>
        <w:ind w:left="0" w:firstLine="0"/>
        <w:jc w:val="center"/>
        <w:rPr>
          <w:rFonts w:cs="Arial"/>
          <w:sz w:val="18"/>
          <w:bdr w:val="nil"/>
          <w:lang w:val="pt-BR" w:eastAsia="pt-BR"/>
        </w:rPr>
      </w:pPr>
    </w:p>
    <w:p w:rsidR="007E78BE" w:rsidRPr="007E78BE" w:rsidRDefault="007E78BE" w:rsidP="007E78BE">
      <w:pPr>
        <w:pStyle w:val="Corpodetexto"/>
        <w:keepLines/>
        <w:widowControl/>
        <w:pBdr>
          <w:top w:val="nil"/>
          <w:left w:val="nil"/>
          <w:bottom w:val="nil"/>
          <w:right w:val="nil"/>
          <w:between w:val="nil"/>
          <w:bar w:val="nil"/>
        </w:pBdr>
        <w:spacing w:line="360" w:lineRule="auto"/>
        <w:ind w:left="0" w:firstLine="0"/>
        <w:jc w:val="center"/>
        <w:rPr>
          <w:rFonts w:cs="Arial"/>
          <w:sz w:val="18"/>
          <w:bdr w:val="nil"/>
          <w:lang w:val="pt-BR" w:eastAsia="pt-BR"/>
        </w:rPr>
      </w:pPr>
    </w:p>
    <w:tbl>
      <w:tblPr>
        <w:tblW w:w="9180" w:type="dxa"/>
        <w:tblLook w:val="04A0" w:firstRow="1" w:lastRow="0" w:firstColumn="1" w:lastColumn="0" w:noHBand="0" w:noVBand="1"/>
      </w:tblPr>
      <w:tblGrid>
        <w:gridCol w:w="4786"/>
        <w:gridCol w:w="4394"/>
      </w:tblGrid>
      <w:tr w:rsidR="00566CE2" w:rsidTr="00D774EC">
        <w:tc>
          <w:tcPr>
            <w:tcW w:w="4786" w:type="dxa"/>
            <w:hideMark/>
          </w:tcPr>
          <w:p w:rsidR="007E78BE" w:rsidRPr="007E78BE" w:rsidRDefault="00A82039" w:rsidP="007E78BE">
            <w:pPr>
              <w:pStyle w:val="Corpodetexto"/>
              <w:widowControl/>
              <w:pBdr>
                <w:top w:val="nil"/>
                <w:left w:val="nil"/>
                <w:bottom w:val="nil"/>
                <w:right w:val="nil"/>
                <w:between w:val="nil"/>
                <w:bar w:val="nil"/>
              </w:pBdr>
              <w:spacing w:line="276" w:lineRule="auto"/>
              <w:ind w:left="0" w:firstLine="0"/>
              <w:jc w:val="center"/>
              <w:rPr>
                <w:rFonts w:cs="Arial"/>
                <w:b/>
                <w:sz w:val="18"/>
                <w:bdr w:val="nil"/>
                <w:lang w:val="pt-BR"/>
              </w:rPr>
            </w:pPr>
            <w:r w:rsidRPr="00D774EC">
              <w:rPr>
                <w:rFonts w:ascii="Arial" w:hAnsi="Arial" w:cs="Arial"/>
                <w:b/>
                <w:sz w:val="18"/>
                <w:bdr w:val="nil"/>
                <w:lang w:val="pt-BR"/>
              </w:rPr>
              <w:t>Bruno Silva Dalcomo</w:t>
            </w:r>
          </w:p>
        </w:tc>
        <w:tc>
          <w:tcPr>
            <w:tcW w:w="4394" w:type="dxa"/>
            <w:hideMark/>
          </w:tcPr>
          <w:p w:rsidR="007E78BE" w:rsidRPr="007E78BE" w:rsidRDefault="00A82039" w:rsidP="007E78BE">
            <w:pPr>
              <w:pStyle w:val="Corpodetexto"/>
              <w:widowControl/>
              <w:pBdr>
                <w:top w:val="nil"/>
                <w:left w:val="nil"/>
                <w:bottom w:val="nil"/>
                <w:right w:val="nil"/>
                <w:between w:val="nil"/>
                <w:bar w:val="nil"/>
              </w:pBdr>
              <w:spacing w:line="276" w:lineRule="auto"/>
              <w:ind w:left="0" w:firstLine="0"/>
              <w:jc w:val="center"/>
              <w:rPr>
                <w:rFonts w:cs="Arial"/>
                <w:b/>
                <w:sz w:val="18"/>
                <w:bdr w:val="nil"/>
                <w:lang w:val="pt-BR"/>
              </w:rPr>
            </w:pPr>
            <w:r>
              <w:rPr>
                <w:rFonts w:ascii="Arial" w:hAnsi="Arial" w:cs="Arial"/>
                <w:b/>
                <w:sz w:val="18"/>
                <w:bdr w:val="nil"/>
                <w:lang w:val="pt-BR"/>
              </w:rPr>
              <w:t>José Alípio dos Santos</w:t>
            </w:r>
          </w:p>
        </w:tc>
      </w:tr>
      <w:tr w:rsidR="00566CE2" w:rsidTr="00D774EC">
        <w:tc>
          <w:tcPr>
            <w:tcW w:w="4786" w:type="dxa"/>
            <w:hideMark/>
          </w:tcPr>
          <w:p w:rsidR="007E78BE" w:rsidRPr="007E78BE" w:rsidRDefault="00A82039" w:rsidP="007E78BE">
            <w:pPr>
              <w:pStyle w:val="Corpodetexto"/>
              <w:widowControl/>
              <w:pBdr>
                <w:top w:val="nil"/>
                <w:left w:val="nil"/>
                <w:bottom w:val="nil"/>
                <w:right w:val="nil"/>
                <w:between w:val="nil"/>
                <w:bar w:val="nil"/>
              </w:pBdr>
              <w:spacing w:line="276" w:lineRule="auto"/>
              <w:ind w:left="0" w:firstLine="0"/>
              <w:jc w:val="center"/>
              <w:rPr>
                <w:rFonts w:cs="Arial"/>
                <w:sz w:val="18"/>
                <w:bdr w:val="nil"/>
                <w:lang w:val="pt-BR"/>
              </w:rPr>
            </w:pPr>
            <w:r w:rsidRPr="007E78BE">
              <w:rPr>
                <w:rFonts w:ascii="Arial" w:hAnsi="Arial" w:cs="Arial"/>
                <w:sz w:val="18"/>
                <w:bdr w:val="nil"/>
                <w:lang w:val="pt-BR"/>
              </w:rPr>
              <w:t>Conselheiro</w:t>
            </w:r>
          </w:p>
        </w:tc>
        <w:tc>
          <w:tcPr>
            <w:tcW w:w="4394" w:type="dxa"/>
            <w:hideMark/>
          </w:tcPr>
          <w:p w:rsidR="007E78BE" w:rsidRPr="007E78BE" w:rsidRDefault="00A82039" w:rsidP="007E78BE">
            <w:pPr>
              <w:pStyle w:val="Corpodetexto"/>
              <w:widowControl/>
              <w:pBdr>
                <w:top w:val="nil"/>
                <w:left w:val="nil"/>
                <w:bottom w:val="nil"/>
                <w:right w:val="nil"/>
                <w:between w:val="nil"/>
                <w:bar w:val="nil"/>
              </w:pBdr>
              <w:tabs>
                <w:tab w:val="center" w:pos="2639"/>
                <w:tab w:val="left" w:pos="3075"/>
              </w:tabs>
              <w:spacing w:line="276" w:lineRule="auto"/>
              <w:ind w:left="0" w:firstLine="0"/>
              <w:jc w:val="center"/>
              <w:rPr>
                <w:rFonts w:cs="Arial"/>
                <w:sz w:val="18"/>
                <w:bdr w:val="nil"/>
                <w:lang w:val="pt-BR"/>
              </w:rPr>
            </w:pPr>
            <w:r w:rsidRPr="007E78BE">
              <w:rPr>
                <w:rFonts w:ascii="Arial" w:hAnsi="Arial" w:cs="Arial"/>
                <w:sz w:val="18"/>
                <w:bdr w:val="nil"/>
                <w:lang w:val="pt-BR"/>
              </w:rPr>
              <w:t>Conselheiro</w:t>
            </w:r>
          </w:p>
        </w:tc>
      </w:tr>
    </w:tbl>
    <w:p w:rsidR="007E78BE" w:rsidRPr="007E78BE" w:rsidRDefault="007E78BE" w:rsidP="007E78BE">
      <w:pPr>
        <w:pStyle w:val="Corpodetexto"/>
        <w:keepLines/>
        <w:widowControl/>
        <w:pBdr>
          <w:top w:val="nil"/>
          <w:left w:val="nil"/>
          <w:bottom w:val="nil"/>
          <w:right w:val="nil"/>
          <w:between w:val="nil"/>
          <w:bar w:val="nil"/>
        </w:pBdr>
        <w:spacing w:line="360" w:lineRule="auto"/>
        <w:ind w:left="0" w:firstLine="0"/>
        <w:jc w:val="center"/>
        <w:rPr>
          <w:rFonts w:cs="Arial"/>
          <w:sz w:val="18"/>
          <w:bdr w:val="nil"/>
          <w:lang w:val="pt-BR" w:eastAsia="pt-BR"/>
        </w:rPr>
      </w:pPr>
    </w:p>
    <w:p w:rsidR="007E78BE" w:rsidRPr="007E78BE" w:rsidRDefault="007E78BE" w:rsidP="007E78BE">
      <w:pPr>
        <w:pStyle w:val="Corpodetexto"/>
        <w:keepLines/>
        <w:widowControl/>
        <w:pBdr>
          <w:top w:val="nil"/>
          <w:left w:val="nil"/>
          <w:bottom w:val="nil"/>
          <w:right w:val="nil"/>
          <w:between w:val="nil"/>
          <w:bar w:val="nil"/>
        </w:pBdr>
        <w:spacing w:line="360" w:lineRule="auto"/>
        <w:ind w:left="0" w:firstLine="0"/>
        <w:jc w:val="center"/>
        <w:rPr>
          <w:rFonts w:cs="Arial"/>
          <w:sz w:val="18"/>
          <w:bdr w:val="nil"/>
          <w:lang w:val="pt-BR" w:eastAsia="pt-BR"/>
        </w:rPr>
      </w:pPr>
    </w:p>
    <w:p w:rsidR="007E78BE" w:rsidRPr="007E78BE" w:rsidRDefault="007E78BE" w:rsidP="007E78BE">
      <w:pPr>
        <w:pStyle w:val="Corpodetexto"/>
        <w:keepLines/>
        <w:widowControl/>
        <w:pBdr>
          <w:top w:val="nil"/>
          <w:left w:val="nil"/>
          <w:bottom w:val="nil"/>
          <w:right w:val="nil"/>
          <w:between w:val="nil"/>
          <w:bar w:val="nil"/>
        </w:pBdr>
        <w:spacing w:line="360" w:lineRule="auto"/>
        <w:ind w:left="0" w:firstLine="0"/>
        <w:jc w:val="center"/>
        <w:rPr>
          <w:rFonts w:cs="Arial"/>
          <w:sz w:val="18"/>
          <w:bdr w:val="nil"/>
          <w:lang w:val="pt-BR" w:eastAsia="pt-BR"/>
        </w:rPr>
      </w:pPr>
    </w:p>
    <w:p w:rsidR="007E78BE" w:rsidRPr="007E78BE" w:rsidRDefault="007E78BE" w:rsidP="007E78BE">
      <w:pPr>
        <w:pStyle w:val="Corpodetexto"/>
        <w:keepLines/>
        <w:widowControl/>
        <w:pBdr>
          <w:top w:val="nil"/>
          <w:left w:val="nil"/>
          <w:bottom w:val="nil"/>
          <w:right w:val="nil"/>
          <w:between w:val="nil"/>
          <w:bar w:val="nil"/>
        </w:pBdr>
        <w:spacing w:line="360" w:lineRule="auto"/>
        <w:ind w:left="0" w:firstLine="0"/>
        <w:jc w:val="center"/>
        <w:rPr>
          <w:rFonts w:cs="Arial"/>
          <w:sz w:val="18"/>
          <w:bdr w:val="nil"/>
          <w:lang w:val="pt-BR" w:eastAsia="pt-BR"/>
        </w:rPr>
      </w:pPr>
    </w:p>
    <w:tbl>
      <w:tblPr>
        <w:tblW w:w="9322" w:type="dxa"/>
        <w:tblLook w:val="04A0" w:firstRow="1" w:lastRow="0" w:firstColumn="1" w:lastColumn="0" w:noHBand="0" w:noVBand="1"/>
      </w:tblPr>
      <w:tblGrid>
        <w:gridCol w:w="4820"/>
        <w:gridCol w:w="4502"/>
      </w:tblGrid>
      <w:tr w:rsidR="00566CE2" w:rsidTr="00D774EC">
        <w:tc>
          <w:tcPr>
            <w:tcW w:w="4820" w:type="dxa"/>
            <w:hideMark/>
          </w:tcPr>
          <w:p w:rsidR="007E78BE" w:rsidRPr="007E78BE" w:rsidRDefault="00A82039" w:rsidP="0000532F">
            <w:pPr>
              <w:pStyle w:val="Corpodetexto"/>
              <w:widowControl/>
              <w:pBdr>
                <w:top w:val="nil"/>
                <w:left w:val="nil"/>
                <w:bottom w:val="nil"/>
                <w:right w:val="nil"/>
                <w:between w:val="nil"/>
                <w:bar w:val="nil"/>
              </w:pBdr>
              <w:tabs>
                <w:tab w:val="left" w:pos="445"/>
              </w:tabs>
              <w:spacing w:line="276" w:lineRule="auto"/>
              <w:ind w:left="0" w:firstLine="37"/>
              <w:jc w:val="center"/>
              <w:rPr>
                <w:rFonts w:cs="Arial"/>
                <w:b/>
                <w:sz w:val="18"/>
                <w:bdr w:val="nil"/>
                <w:lang w:val="pt-BR"/>
              </w:rPr>
            </w:pPr>
            <w:r w:rsidRPr="007E78BE">
              <w:rPr>
                <w:rFonts w:ascii="Arial" w:hAnsi="Arial" w:cs="Arial"/>
                <w:b/>
                <w:sz w:val="18"/>
                <w:bdr w:val="nil"/>
                <w:lang w:val="pt-BR"/>
              </w:rPr>
              <w:t>J</w:t>
            </w:r>
            <w:r>
              <w:rPr>
                <w:rFonts w:ascii="Arial" w:hAnsi="Arial" w:cs="Arial"/>
                <w:b/>
                <w:sz w:val="18"/>
                <w:bdr w:val="nil"/>
                <w:lang w:val="pt-BR"/>
              </w:rPr>
              <w:t>u</w:t>
            </w:r>
            <w:r w:rsidRPr="007E78BE">
              <w:rPr>
                <w:rFonts w:ascii="Arial" w:hAnsi="Arial" w:cs="Arial"/>
                <w:b/>
                <w:sz w:val="18"/>
                <w:bdr w:val="nil"/>
                <w:lang w:val="pt-BR"/>
              </w:rPr>
              <w:t>lio Cesar Costa Pinto</w:t>
            </w:r>
          </w:p>
        </w:tc>
        <w:tc>
          <w:tcPr>
            <w:tcW w:w="4502" w:type="dxa"/>
            <w:hideMark/>
          </w:tcPr>
          <w:p w:rsidR="007E78BE" w:rsidRPr="007E78BE" w:rsidRDefault="00A82039" w:rsidP="0000532F">
            <w:pPr>
              <w:pStyle w:val="Corpodetexto"/>
              <w:widowControl/>
              <w:pBdr>
                <w:top w:val="nil"/>
                <w:left w:val="nil"/>
                <w:bottom w:val="nil"/>
                <w:right w:val="nil"/>
                <w:between w:val="nil"/>
                <w:bar w:val="nil"/>
              </w:pBdr>
              <w:tabs>
                <w:tab w:val="left" w:pos="445"/>
              </w:tabs>
              <w:spacing w:line="276" w:lineRule="auto"/>
              <w:ind w:left="0" w:firstLine="0"/>
              <w:jc w:val="center"/>
              <w:rPr>
                <w:rFonts w:cs="Arial"/>
                <w:b/>
                <w:sz w:val="18"/>
                <w:bdr w:val="nil"/>
                <w:lang w:val="pt-BR"/>
              </w:rPr>
            </w:pPr>
            <w:r>
              <w:rPr>
                <w:rFonts w:ascii="Arial" w:hAnsi="Arial" w:cs="Arial"/>
                <w:b/>
                <w:sz w:val="18"/>
                <w:bdr w:val="nil"/>
                <w:lang w:val="pt-BR"/>
              </w:rPr>
              <w:t>Luiz Claudio Batista</w:t>
            </w:r>
          </w:p>
        </w:tc>
      </w:tr>
      <w:tr w:rsidR="00566CE2" w:rsidTr="00D774EC">
        <w:tc>
          <w:tcPr>
            <w:tcW w:w="4820" w:type="dxa"/>
            <w:hideMark/>
          </w:tcPr>
          <w:p w:rsidR="007E78BE" w:rsidRPr="007E78BE" w:rsidRDefault="00A82039" w:rsidP="007E78BE">
            <w:pPr>
              <w:pStyle w:val="Corpodetexto"/>
              <w:widowControl/>
              <w:pBdr>
                <w:top w:val="nil"/>
                <w:left w:val="nil"/>
                <w:bottom w:val="nil"/>
                <w:right w:val="nil"/>
                <w:between w:val="nil"/>
                <w:bar w:val="nil"/>
              </w:pBdr>
              <w:spacing w:line="276" w:lineRule="auto"/>
              <w:ind w:left="0" w:firstLine="37"/>
              <w:jc w:val="center"/>
              <w:rPr>
                <w:rFonts w:cs="Arial"/>
                <w:sz w:val="18"/>
                <w:bdr w:val="nil"/>
                <w:lang w:val="pt-BR"/>
              </w:rPr>
            </w:pPr>
            <w:r w:rsidRPr="007E78BE">
              <w:rPr>
                <w:rFonts w:ascii="Arial" w:hAnsi="Arial" w:cs="Arial"/>
                <w:sz w:val="18"/>
                <w:bdr w:val="nil"/>
                <w:lang w:val="pt-BR"/>
              </w:rPr>
              <w:t>Conselheiro</w:t>
            </w:r>
          </w:p>
        </w:tc>
        <w:tc>
          <w:tcPr>
            <w:tcW w:w="4502" w:type="dxa"/>
            <w:hideMark/>
          </w:tcPr>
          <w:p w:rsidR="007E78BE" w:rsidRPr="007E78BE" w:rsidRDefault="00A82039" w:rsidP="007E78BE">
            <w:pPr>
              <w:pStyle w:val="Corpodetexto"/>
              <w:widowControl/>
              <w:pBdr>
                <w:top w:val="nil"/>
                <w:left w:val="nil"/>
                <w:bottom w:val="nil"/>
                <w:right w:val="nil"/>
                <w:between w:val="nil"/>
                <w:bar w:val="nil"/>
              </w:pBdr>
              <w:spacing w:line="276" w:lineRule="auto"/>
              <w:ind w:left="0" w:firstLine="0"/>
              <w:jc w:val="center"/>
              <w:rPr>
                <w:rFonts w:cs="Arial"/>
                <w:sz w:val="18"/>
                <w:bdr w:val="nil"/>
                <w:lang w:val="pt-BR"/>
              </w:rPr>
            </w:pPr>
            <w:r w:rsidRPr="007E78BE">
              <w:rPr>
                <w:rFonts w:ascii="Arial" w:hAnsi="Arial" w:cs="Arial"/>
                <w:sz w:val="18"/>
                <w:bdr w:val="nil"/>
                <w:lang w:val="pt-BR"/>
              </w:rPr>
              <w:t>Conselheiro</w:t>
            </w:r>
          </w:p>
        </w:tc>
      </w:tr>
    </w:tbl>
    <w:p w:rsidR="007E78BE" w:rsidRPr="007E78BE" w:rsidRDefault="007E78BE" w:rsidP="007E78BE">
      <w:pPr>
        <w:keepLines/>
        <w:pBdr>
          <w:top w:val="nil"/>
          <w:left w:val="nil"/>
          <w:bottom w:val="nil"/>
          <w:right w:val="nil"/>
          <w:between w:val="nil"/>
          <w:bar w:val="nil"/>
        </w:pBdr>
        <w:tabs>
          <w:tab w:val="left" w:pos="5529"/>
        </w:tabs>
        <w:spacing w:before="0" w:after="0" w:line="240" w:lineRule="auto"/>
        <w:jc w:val="center"/>
        <w:rPr>
          <w:rFonts w:cs="Arial"/>
          <w:szCs w:val="24"/>
          <w:bdr w:val="nil"/>
        </w:rPr>
      </w:pPr>
    </w:p>
    <w:p w:rsidR="007E78BE" w:rsidRPr="007E78BE" w:rsidRDefault="007E78BE" w:rsidP="007E78BE">
      <w:pPr>
        <w:keepLines/>
        <w:pBdr>
          <w:top w:val="nil"/>
          <w:left w:val="nil"/>
          <w:bottom w:val="nil"/>
          <w:right w:val="nil"/>
          <w:between w:val="nil"/>
          <w:bar w:val="nil"/>
        </w:pBdr>
        <w:tabs>
          <w:tab w:val="left" w:pos="5529"/>
        </w:tabs>
        <w:spacing w:before="0" w:after="0" w:line="240" w:lineRule="auto"/>
        <w:jc w:val="center"/>
        <w:rPr>
          <w:rFonts w:cs="Arial"/>
          <w:szCs w:val="24"/>
          <w:bdr w:val="nil"/>
        </w:rPr>
      </w:pPr>
    </w:p>
    <w:p w:rsidR="007E78BE" w:rsidRPr="007E78BE" w:rsidRDefault="007E78BE" w:rsidP="007E78BE">
      <w:pPr>
        <w:keepLines/>
        <w:pBdr>
          <w:top w:val="nil"/>
          <w:left w:val="nil"/>
          <w:bottom w:val="nil"/>
          <w:right w:val="nil"/>
          <w:between w:val="nil"/>
          <w:bar w:val="nil"/>
        </w:pBdr>
        <w:tabs>
          <w:tab w:val="left" w:pos="5529"/>
        </w:tabs>
        <w:spacing w:before="0" w:after="0" w:line="240" w:lineRule="auto"/>
        <w:jc w:val="center"/>
        <w:rPr>
          <w:rFonts w:cs="Arial"/>
          <w:szCs w:val="24"/>
          <w:bdr w:val="nil"/>
        </w:rPr>
      </w:pPr>
    </w:p>
    <w:p w:rsidR="007E78BE" w:rsidRPr="007E78BE" w:rsidRDefault="007E78BE" w:rsidP="007E78BE">
      <w:pPr>
        <w:keepLines/>
        <w:pBdr>
          <w:top w:val="nil"/>
          <w:left w:val="nil"/>
          <w:bottom w:val="nil"/>
          <w:right w:val="nil"/>
          <w:between w:val="nil"/>
          <w:bar w:val="nil"/>
        </w:pBdr>
        <w:tabs>
          <w:tab w:val="left" w:pos="5529"/>
        </w:tabs>
        <w:spacing w:before="0" w:after="0" w:line="240" w:lineRule="auto"/>
        <w:jc w:val="center"/>
        <w:rPr>
          <w:rFonts w:cs="Arial"/>
          <w:szCs w:val="24"/>
          <w:bdr w:val="nil"/>
        </w:rPr>
      </w:pPr>
    </w:p>
    <w:tbl>
      <w:tblPr>
        <w:tblW w:w="9322" w:type="dxa"/>
        <w:tblLook w:val="04A0" w:firstRow="1" w:lastRow="0" w:firstColumn="1" w:lastColumn="0" w:noHBand="0" w:noVBand="1"/>
      </w:tblPr>
      <w:tblGrid>
        <w:gridCol w:w="4820"/>
        <w:gridCol w:w="4502"/>
      </w:tblGrid>
      <w:tr w:rsidR="00566CE2" w:rsidTr="00126A7C">
        <w:tc>
          <w:tcPr>
            <w:tcW w:w="4820" w:type="dxa"/>
            <w:hideMark/>
          </w:tcPr>
          <w:p w:rsidR="007E78BE" w:rsidRPr="007E78BE" w:rsidRDefault="00A82039" w:rsidP="007E78BE">
            <w:pPr>
              <w:pStyle w:val="Corpodetexto"/>
              <w:widowControl/>
              <w:pBdr>
                <w:top w:val="nil"/>
                <w:left w:val="nil"/>
                <w:bottom w:val="nil"/>
                <w:right w:val="nil"/>
                <w:between w:val="nil"/>
                <w:bar w:val="nil"/>
              </w:pBdr>
              <w:tabs>
                <w:tab w:val="left" w:pos="445"/>
              </w:tabs>
              <w:spacing w:line="276" w:lineRule="auto"/>
              <w:ind w:left="0" w:firstLine="37"/>
              <w:jc w:val="center"/>
              <w:rPr>
                <w:rFonts w:cs="Arial"/>
                <w:b/>
                <w:sz w:val="18"/>
                <w:bdr w:val="nil"/>
                <w:lang w:val="pt-BR"/>
              </w:rPr>
            </w:pPr>
            <w:r>
              <w:rPr>
                <w:rFonts w:ascii="Arial" w:hAnsi="Arial" w:cs="Arial"/>
                <w:b/>
                <w:sz w:val="18"/>
                <w:bdr w:val="nil"/>
                <w:lang w:val="pt-BR"/>
              </w:rPr>
              <w:t>Paulo Cesar Simplí</w:t>
            </w:r>
            <w:r w:rsidRPr="007E78BE">
              <w:rPr>
                <w:rFonts w:ascii="Arial" w:hAnsi="Arial" w:cs="Arial"/>
                <w:b/>
                <w:sz w:val="18"/>
                <w:bdr w:val="nil"/>
                <w:lang w:val="pt-BR"/>
              </w:rPr>
              <w:t>cio da Silva</w:t>
            </w:r>
          </w:p>
        </w:tc>
        <w:tc>
          <w:tcPr>
            <w:tcW w:w="4502" w:type="dxa"/>
          </w:tcPr>
          <w:p w:rsidR="007E78BE" w:rsidRPr="007E78BE" w:rsidRDefault="007E78BE" w:rsidP="007E78BE">
            <w:pPr>
              <w:pStyle w:val="Corpodetexto"/>
              <w:widowControl/>
              <w:pBdr>
                <w:top w:val="nil"/>
                <w:left w:val="nil"/>
                <w:bottom w:val="nil"/>
                <w:right w:val="nil"/>
                <w:between w:val="nil"/>
                <w:bar w:val="nil"/>
              </w:pBdr>
              <w:tabs>
                <w:tab w:val="left" w:pos="445"/>
              </w:tabs>
              <w:spacing w:line="276" w:lineRule="auto"/>
              <w:ind w:left="0" w:firstLine="37"/>
              <w:jc w:val="center"/>
              <w:rPr>
                <w:rFonts w:cs="Arial"/>
                <w:b/>
                <w:sz w:val="18"/>
                <w:bdr w:val="nil"/>
                <w:lang w:val="pt-BR"/>
              </w:rPr>
            </w:pPr>
          </w:p>
        </w:tc>
      </w:tr>
      <w:tr w:rsidR="00566CE2" w:rsidTr="00126A7C">
        <w:tc>
          <w:tcPr>
            <w:tcW w:w="4820" w:type="dxa"/>
            <w:hideMark/>
          </w:tcPr>
          <w:p w:rsidR="007E78BE" w:rsidRPr="007E78BE" w:rsidRDefault="00A82039" w:rsidP="007E78BE">
            <w:pPr>
              <w:pStyle w:val="Corpodetexto"/>
              <w:widowControl/>
              <w:pBdr>
                <w:top w:val="nil"/>
                <w:left w:val="nil"/>
                <w:bottom w:val="nil"/>
                <w:right w:val="nil"/>
                <w:between w:val="nil"/>
                <w:bar w:val="nil"/>
              </w:pBdr>
              <w:spacing w:line="276" w:lineRule="auto"/>
              <w:ind w:left="0" w:firstLine="37"/>
              <w:jc w:val="center"/>
              <w:rPr>
                <w:rFonts w:cs="Arial"/>
                <w:sz w:val="18"/>
                <w:bdr w:val="nil"/>
                <w:lang w:val="pt-BR"/>
              </w:rPr>
            </w:pPr>
            <w:r>
              <w:rPr>
                <w:rFonts w:ascii="Arial" w:hAnsi="Arial" w:cs="Arial"/>
                <w:sz w:val="18"/>
                <w:bdr w:val="nil"/>
                <w:lang w:val="pt-BR"/>
              </w:rPr>
              <w:t>Conselheiro</w:t>
            </w:r>
          </w:p>
        </w:tc>
        <w:tc>
          <w:tcPr>
            <w:tcW w:w="4502" w:type="dxa"/>
          </w:tcPr>
          <w:p w:rsidR="007E78BE" w:rsidRPr="007E78BE" w:rsidRDefault="007E78BE" w:rsidP="007E78BE">
            <w:pPr>
              <w:pStyle w:val="Corpodetexto"/>
              <w:widowControl/>
              <w:pBdr>
                <w:top w:val="nil"/>
                <w:left w:val="nil"/>
                <w:bottom w:val="nil"/>
                <w:right w:val="nil"/>
                <w:between w:val="nil"/>
                <w:bar w:val="nil"/>
              </w:pBdr>
              <w:spacing w:line="276" w:lineRule="auto"/>
              <w:ind w:left="0" w:firstLine="37"/>
              <w:jc w:val="center"/>
              <w:rPr>
                <w:rFonts w:cs="Arial"/>
                <w:sz w:val="18"/>
                <w:bdr w:val="nil"/>
                <w:lang w:val="pt-BR"/>
              </w:rPr>
            </w:pPr>
          </w:p>
        </w:tc>
      </w:tr>
    </w:tbl>
    <w:p w:rsidR="000B5D43" w:rsidRPr="000B5D43" w:rsidRDefault="000B5D43" w:rsidP="000B5D43">
      <w:pPr>
        <w:pStyle w:val="PargrafodaLista"/>
        <w:keepLines/>
        <w:pBdr>
          <w:top w:val="nil"/>
          <w:left w:val="nil"/>
          <w:bottom w:val="nil"/>
          <w:right w:val="nil"/>
          <w:between w:val="nil"/>
          <w:bar w:val="nil"/>
        </w:pBdr>
        <w:autoSpaceDE w:val="0"/>
        <w:autoSpaceDN w:val="0"/>
        <w:adjustRightInd w:val="0"/>
        <w:spacing w:after="0"/>
        <w:ind w:left="426"/>
        <w:jc w:val="both"/>
        <w:rPr>
          <w:rFonts w:ascii="Arial" w:hAnsi="Arial" w:cs="Arial"/>
          <w:sz w:val="23"/>
          <w:szCs w:val="23"/>
          <w:bdr w:val="nil"/>
        </w:rPr>
      </w:pPr>
    </w:p>
    <w:p w:rsidR="00AF3504" w:rsidRPr="00AF3504" w:rsidRDefault="00AF3504" w:rsidP="00AF3504">
      <w:pPr>
        <w:keepLines/>
        <w:pBdr>
          <w:top w:val="nil"/>
          <w:left w:val="nil"/>
          <w:bottom w:val="nil"/>
          <w:right w:val="nil"/>
          <w:between w:val="nil"/>
          <w:bar w:val="nil"/>
        </w:pBdr>
        <w:spacing w:before="0" w:after="0" w:line="360" w:lineRule="auto"/>
        <w:ind w:right="-568"/>
        <w:rPr>
          <w:rFonts w:ascii="Times New Roman" w:hAnsi="Times New Roman"/>
          <w:bdr w:val="nil"/>
        </w:rPr>
      </w:pPr>
    </w:p>
    <w:p w:rsidR="000472DA" w:rsidRPr="00AF3504" w:rsidRDefault="000472DA" w:rsidP="00AF3504">
      <w:pPr>
        <w:keepLines/>
        <w:pBdr>
          <w:top w:val="nil"/>
          <w:left w:val="nil"/>
          <w:bottom w:val="nil"/>
          <w:right w:val="nil"/>
          <w:between w:val="nil"/>
          <w:bar w:val="nil"/>
        </w:pBdr>
        <w:spacing w:before="0" w:after="0" w:line="240" w:lineRule="auto"/>
        <w:rPr>
          <w:rFonts w:ascii="Times New Roman" w:hAnsi="Times New Roman"/>
          <w:bdr w:val="nil"/>
        </w:rPr>
      </w:pPr>
    </w:p>
    <w:p w:rsidR="00AF3504" w:rsidRPr="00AF3504" w:rsidRDefault="00AF3504">
      <w:pPr>
        <w:keepLines/>
        <w:pBdr>
          <w:top w:val="nil"/>
          <w:left w:val="nil"/>
          <w:bottom w:val="nil"/>
          <w:right w:val="nil"/>
          <w:between w:val="nil"/>
          <w:bar w:val="nil"/>
        </w:pBdr>
        <w:spacing w:before="0" w:after="0" w:line="240" w:lineRule="auto"/>
        <w:rPr>
          <w:rFonts w:ascii="Times New Roman" w:hAnsi="Times New Roman"/>
          <w:bdr w:val="nil"/>
        </w:rPr>
      </w:pPr>
    </w:p>
    <w:p w:rsidR="00246C93" w:rsidRPr="00246C93" w:rsidRDefault="00A82039" w:rsidP="00246C93">
      <w:pPr>
        <w:keepLines/>
        <w:pageBreakBefore/>
        <w:pBdr>
          <w:top w:val="nil"/>
          <w:left w:val="nil"/>
          <w:bottom w:val="nil"/>
          <w:right w:val="nil"/>
          <w:between w:val="nil"/>
          <w:bar w:val="nil"/>
        </w:pBdr>
        <w:spacing w:before="0" w:after="0" w:line="240" w:lineRule="auto"/>
        <w:jc w:val="center"/>
        <w:rPr>
          <w:rFonts w:cs="Arial"/>
          <w:b/>
          <w:szCs w:val="24"/>
          <w:bdr w:val="nil"/>
        </w:rPr>
      </w:pPr>
      <w:r w:rsidRPr="00246C93">
        <w:rPr>
          <w:rFonts w:cs="Arial"/>
          <w:b/>
          <w:szCs w:val="24"/>
          <w:bdr w:val="nil"/>
        </w:rPr>
        <w:lastRenderedPageBreak/>
        <w:t>Parecer do Conselho Fiscal</w:t>
      </w:r>
    </w:p>
    <w:p w:rsidR="00246C93" w:rsidRPr="00246C93" w:rsidRDefault="00246C93" w:rsidP="00246C93">
      <w:pPr>
        <w:keepLines/>
        <w:pBdr>
          <w:top w:val="nil"/>
          <w:left w:val="nil"/>
          <w:bottom w:val="nil"/>
          <w:right w:val="nil"/>
          <w:between w:val="nil"/>
          <w:bar w:val="nil"/>
        </w:pBdr>
        <w:spacing w:before="0" w:after="0" w:line="360" w:lineRule="auto"/>
        <w:jc w:val="center"/>
        <w:rPr>
          <w:rFonts w:cs="Arial"/>
          <w:szCs w:val="24"/>
          <w:bdr w:val="nil"/>
        </w:rPr>
      </w:pPr>
    </w:p>
    <w:p w:rsidR="00E153BF" w:rsidRPr="00E153BF" w:rsidRDefault="00A82039" w:rsidP="00E153BF">
      <w:pPr>
        <w:keepLines/>
        <w:pBdr>
          <w:top w:val="nil"/>
          <w:left w:val="nil"/>
          <w:bottom w:val="nil"/>
          <w:right w:val="nil"/>
          <w:between w:val="nil"/>
          <w:bar w:val="nil"/>
        </w:pBdr>
        <w:spacing w:before="0" w:after="0" w:line="360" w:lineRule="auto"/>
        <w:rPr>
          <w:rFonts w:cs="Arial"/>
          <w:szCs w:val="24"/>
          <w:bdr w:val="nil"/>
        </w:rPr>
      </w:pPr>
      <w:r w:rsidRPr="00E153BF">
        <w:rPr>
          <w:rFonts w:cs="Arial"/>
          <w:szCs w:val="24"/>
          <w:bdr w:val="nil"/>
        </w:rPr>
        <w:t xml:space="preserve">O Conselho Fiscal da Ativos S.A. Securitizadora de Créditos Financeiros, em cumprimento das disposições legais e estatutárias, examinou o Relatório da Administração e as Demonstrações Financeiras e respectivas Notas Explicativas referentes ao exercício social encerrado em 31 de dezembro de 2019. Com base nos exames efetuados, considerando, ainda, o Relatório dos Auditores Independentes – </w:t>
      </w:r>
      <w:r>
        <w:rPr>
          <w:rFonts w:cs="Arial"/>
          <w:szCs w:val="24"/>
          <w:bdr w:val="nil"/>
        </w:rPr>
        <w:t>Deloitte Touche Tohmatsu Auditores Independentes</w:t>
      </w:r>
      <w:r w:rsidRPr="00E153BF">
        <w:rPr>
          <w:rFonts w:cs="Arial"/>
          <w:szCs w:val="24"/>
          <w:bdr w:val="nil"/>
        </w:rPr>
        <w:t>, nesta data expedido, bem como as informações e esclarecimentos recebidos no decorrer do exercício, opina que os referidos documentos estão em condições de serem apreciados pela Assembleia Geral Ordinária dos Acionistas.</w:t>
      </w:r>
    </w:p>
    <w:p w:rsidR="00E153BF" w:rsidRPr="00E153BF" w:rsidRDefault="00E153BF" w:rsidP="00E153BF">
      <w:pPr>
        <w:keepLines/>
        <w:pBdr>
          <w:top w:val="nil"/>
          <w:left w:val="nil"/>
          <w:bottom w:val="nil"/>
          <w:right w:val="nil"/>
          <w:between w:val="nil"/>
          <w:bar w:val="nil"/>
        </w:pBdr>
        <w:spacing w:before="0" w:after="0" w:line="360" w:lineRule="auto"/>
        <w:jc w:val="center"/>
        <w:rPr>
          <w:rFonts w:cs="Arial"/>
          <w:szCs w:val="24"/>
          <w:bdr w:val="nil"/>
        </w:rPr>
      </w:pPr>
    </w:p>
    <w:p w:rsidR="00E153BF" w:rsidRPr="00E153BF" w:rsidRDefault="00E153BF" w:rsidP="00E153BF">
      <w:pPr>
        <w:keepLines/>
        <w:pBdr>
          <w:top w:val="nil"/>
          <w:left w:val="nil"/>
          <w:bottom w:val="nil"/>
          <w:right w:val="nil"/>
          <w:between w:val="nil"/>
          <w:bar w:val="nil"/>
        </w:pBdr>
        <w:spacing w:before="0" w:after="0" w:line="360" w:lineRule="auto"/>
        <w:jc w:val="center"/>
        <w:rPr>
          <w:rFonts w:cs="Arial"/>
          <w:szCs w:val="24"/>
          <w:bdr w:val="nil"/>
        </w:rPr>
      </w:pPr>
    </w:p>
    <w:p w:rsidR="00246C93" w:rsidRPr="00246C93" w:rsidRDefault="00A82039" w:rsidP="00E153BF">
      <w:pPr>
        <w:keepLines/>
        <w:pBdr>
          <w:top w:val="nil"/>
          <w:left w:val="nil"/>
          <w:bottom w:val="nil"/>
          <w:right w:val="nil"/>
          <w:between w:val="nil"/>
          <w:bar w:val="nil"/>
        </w:pBdr>
        <w:spacing w:before="0" w:after="0" w:line="360" w:lineRule="auto"/>
        <w:jc w:val="center"/>
        <w:rPr>
          <w:rFonts w:cs="Arial"/>
          <w:szCs w:val="24"/>
          <w:bdr w:val="nil"/>
        </w:rPr>
      </w:pPr>
      <w:r w:rsidRPr="00E153BF">
        <w:rPr>
          <w:rFonts w:cs="Arial"/>
          <w:szCs w:val="24"/>
          <w:bdr w:val="nil"/>
        </w:rPr>
        <w:t>Brasília (DF), 21 de fevereiro de 2020</w:t>
      </w:r>
      <w:r>
        <w:rPr>
          <w:rFonts w:cs="Arial"/>
          <w:szCs w:val="24"/>
          <w:bdr w:val="nil"/>
        </w:rPr>
        <w:t>.</w:t>
      </w:r>
    </w:p>
    <w:p w:rsidR="00246C93" w:rsidRPr="00246C93" w:rsidRDefault="00246C93" w:rsidP="00246C93">
      <w:pPr>
        <w:keepLines/>
        <w:pBdr>
          <w:top w:val="nil"/>
          <w:left w:val="nil"/>
          <w:bottom w:val="nil"/>
          <w:right w:val="nil"/>
          <w:between w:val="nil"/>
          <w:bar w:val="nil"/>
        </w:pBdr>
        <w:spacing w:before="0" w:after="0" w:line="360" w:lineRule="auto"/>
        <w:jc w:val="center"/>
        <w:rPr>
          <w:rFonts w:cs="Arial"/>
          <w:szCs w:val="24"/>
          <w:bdr w:val="nil"/>
        </w:rPr>
      </w:pPr>
    </w:p>
    <w:p w:rsidR="00246C93" w:rsidRPr="00246C93" w:rsidRDefault="00246C93" w:rsidP="00246C93">
      <w:pPr>
        <w:keepLines/>
        <w:pBdr>
          <w:top w:val="nil"/>
          <w:left w:val="nil"/>
          <w:bottom w:val="nil"/>
          <w:right w:val="nil"/>
          <w:between w:val="nil"/>
          <w:bar w:val="nil"/>
        </w:pBdr>
        <w:spacing w:before="0" w:after="0" w:line="360" w:lineRule="auto"/>
        <w:jc w:val="center"/>
        <w:rPr>
          <w:rFonts w:cs="Arial"/>
          <w:szCs w:val="24"/>
          <w:bdr w:val="nil"/>
        </w:rPr>
      </w:pPr>
    </w:p>
    <w:p w:rsidR="00246C93" w:rsidRPr="00246C93" w:rsidRDefault="00246C93" w:rsidP="00246C93">
      <w:pPr>
        <w:keepLines/>
        <w:pBdr>
          <w:top w:val="nil"/>
          <w:left w:val="nil"/>
          <w:bottom w:val="nil"/>
          <w:right w:val="nil"/>
          <w:between w:val="nil"/>
          <w:bar w:val="nil"/>
        </w:pBdr>
        <w:spacing w:before="0" w:after="0" w:line="360" w:lineRule="auto"/>
        <w:jc w:val="center"/>
        <w:rPr>
          <w:rFonts w:cs="Arial"/>
          <w:szCs w:val="24"/>
          <w:bdr w:val="nil"/>
        </w:rPr>
      </w:pPr>
    </w:p>
    <w:tbl>
      <w:tblPr>
        <w:tblStyle w:val="Tabelacomgrade"/>
        <w:tblW w:w="93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6"/>
        <w:gridCol w:w="5086"/>
      </w:tblGrid>
      <w:tr w:rsidR="00566CE2" w:rsidTr="00246C93">
        <w:trPr>
          <w:jc w:val="center"/>
        </w:trPr>
        <w:tc>
          <w:tcPr>
            <w:tcW w:w="4236" w:type="dxa"/>
            <w:hideMark/>
          </w:tcPr>
          <w:p w:rsidR="00246C93" w:rsidRPr="00246C93" w:rsidRDefault="00A82039">
            <w:pPr>
              <w:pBdr>
                <w:top w:val="nil"/>
                <w:left w:val="nil"/>
                <w:bottom w:val="nil"/>
                <w:right w:val="nil"/>
                <w:between w:val="nil"/>
                <w:bar w:val="nil"/>
              </w:pBdr>
              <w:tabs>
                <w:tab w:val="left" w:pos="3328"/>
              </w:tabs>
              <w:spacing w:before="0" w:after="0" w:line="240" w:lineRule="auto"/>
              <w:jc w:val="center"/>
              <w:rPr>
                <w:b/>
                <w:bCs/>
                <w:szCs w:val="24"/>
                <w:bdr w:val="nil"/>
                <w:lang w:val="pt-BR"/>
              </w:rPr>
            </w:pPr>
            <w:r w:rsidRPr="00A5065D">
              <w:rPr>
                <w:rFonts w:eastAsia="Calibri"/>
                <w:b/>
                <w:bCs/>
                <w:szCs w:val="24"/>
                <w:bdr w:val="nil"/>
                <w:lang w:val="pt-BR" w:eastAsia="en-US"/>
              </w:rPr>
              <w:t>Carlos José da Costa André</w:t>
            </w:r>
          </w:p>
          <w:p w:rsidR="00246C93" w:rsidRPr="00246C93" w:rsidRDefault="00A82039">
            <w:pPr>
              <w:pBdr>
                <w:top w:val="nil"/>
                <w:left w:val="nil"/>
                <w:bottom w:val="nil"/>
                <w:right w:val="nil"/>
                <w:between w:val="nil"/>
                <w:bar w:val="nil"/>
              </w:pBdr>
              <w:tabs>
                <w:tab w:val="left" w:pos="3328"/>
              </w:tabs>
              <w:spacing w:before="0" w:after="0" w:line="240" w:lineRule="auto"/>
              <w:jc w:val="center"/>
              <w:rPr>
                <w:szCs w:val="24"/>
                <w:bdr w:val="nil"/>
                <w:lang w:val="pt-BR"/>
              </w:rPr>
            </w:pPr>
            <w:r w:rsidRPr="00246C93">
              <w:rPr>
                <w:rFonts w:eastAsia="Calibri"/>
                <w:szCs w:val="24"/>
                <w:bdr w:val="nil"/>
                <w:lang w:val="pt-BR" w:eastAsia="en-US"/>
              </w:rPr>
              <w:t>Presidente</w:t>
            </w:r>
          </w:p>
        </w:tc>
        <w:tc>
          <w:tcPr>
            <w:tcW w:w="5086" w:type="dxa"/>
            <w:hideMark/>
          </w:tcPr>
          <w:p w:rsidR="00246C93" w:rsidRPr="00246C93" w:rsidRDefault="00A82039" w:rsidP="00246C93">
            <w:pPr>
              <w:pBdr>
                <w:top w:val="nil"/>
                <w:left w:val="nil"/>
                <w:bottom w:val="nil"/>
                <w:right w:val="nil"/>
                <w:between w:val="nil"/>
                <w:bar w:val="nil"/>
              </w:pBdr>
              <w:tabs>
                <w:tab w:val="left" w:pos="3328"/>
              </w:tabs>
              <w:spacing w:before="0" w:after="0" w:line="240" w:lineRule="auto"/>
              <w:jc w:val="center"/>
              <w:rPr>
                <w:b/>
                <w:szCs w:val="24"/>
                <w:bdr w:val="nil"/>
                <w:lang w:val="pt-BR"/>
              </w:rPr>
            </w:pPr>
            <w:r w:rsidRPr="00246C93">
              <w:rPr>
                <w:rFonts w:eastAsia="Calibri"/>
                <w:b/>
                <w:szCs w:val="24"/>
                <w:bdr w:val="nil"/>
                <w:lang w:val="pt-BR" w:eastAsia="en-US"/>
              </w:rPr>
              <w:t>Fernando Avelino Boeschenstein Vieira</w:t>
            </w:r>
          </w:p>
          <w:p w:rsidR="00246C93" w:rsidRPr="00246C93" w:rsidRDefault="00A82039">
            <w:pPr>
              <w:pBdr>
                <w:top w:val="nil"/>
                <w:left w:val="nil"/>
                <w:bottom w:val="nil"/>
                <w:right w:val="nil"/>
                <w:between w:val="nil"/>
                <w:bar w:val="nil"/>
              </w:pBdr>
              <w:tabs>
                <w:tab w:val="left" w:pos="3328"/>
              </w:tabs>
              <w:spacing w:before="0" w:after="0" w:line="240" w:lineRule="auto"/>
              <w:jc w:val="center"/>
              <w:rPr>
                <w:szCs w:val="24"/>
                <w:bdr w:val="nil"/>
                <w:lang w:val="pt-BR"/>
              </w:rPr>
            </w:pPr>
            <w:r w:rsidRPr="00246C93">
              <w:rPr>
                <w:rFonts w:eastAsia="Calibri"/>
                <w:szCs w:val="24"/>
                <w:bdr w:val="nil"/>
                <w:lang w:val="pt-BR" w:eastAsia="en-US"/>
              </w:rPr>
              <w:t>Conselheiro</w:t>
            </w:r>
          </w:p>
        </w:tc>
      </w:tr>
    </w:tbl>
    <w:p w:rsidR="00246C93" w:rsidRPr="00246C93" w:rsidRDefault="00246C93" w:rsidP="00246C93">
      <w:pPr>
        <w:keepLines/>
        <w:pBdr>
          <w:top w:val="nil"/>
          <w:left w:val="nil"/>
          <w:bottom w:val="nil"/>
          <w:right w:val="nil"/>
          <w:between w:val="nil"/>
          <w:bar w:val="nil"/>
        </w:pBdr>
        <w:spacing w:before="0" w:after="0" w:line="360" w:lineRule="auto"/>
        <w:jc w:val="center"/>
        <w:rPr>
          <w:rFonts w:cs="Arial"/>
          <w:szCs w:val="24"/>
          <w:bdr w:val="nil"/>
        </w:rPr>
      </w:pPr>
    </w:p>
    <w:p w:rsidR="00246C93" w:rsidRPr="00246C93" w:rsidRDefault="00246C93" w:rsidP="00246C93">
      <w:pPr>
        <w:keepLines/>
        <w:pBdr>
          <w:top w:val="nil"/>
          <w:left w:val="nil"/>
          <w:bottom w:val="nil"/>
          <w:right w:val="nil"/>
          <w:between w:val="nil"/>
          <w:bar w:val="nil"/>
        </w:pBdr>
        <w:spacing w:before="0" w:after="0" w:line="360" w:lineRule="auto"/>
        <w:jc w:val="center"/>
        <w:rPr>
          <w:rFonts w:cs="Arial"/>
          <w:szCs w:val="24"/>
          <w:bdr w:val="nil"/>
        </w:rPr>
      </w:pPr>
    </w:p>
    <w:p w:rsidR="00246C93" w:rsidRPr="00246C93" w:rsidRDefault="00246C93" w:rsidP="00246C93">
      <w:pPr>
        <w:keepLines/>
        <w:pBdr>
          <w:top w:val="nil"/>
          <w:left w:val="nil"/>
          <w:bottom w:val="nil"/>
          <w:right w:val="nil"/>
          <w:between w:val="nil"/>
          <w:bar w:val="nil"/>
        </w:pBdr>
        <w:spacing w:before="0" w:after="0" w:line="360" w:lineRule="auto"/>
        <w:jc w:val="center"/>
        <w:rPr>
          <w:rFonts w:cs="Arial"/>
          <w:szCs w:val="24"/>
          <w:bdr w:val="nil"/>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tblGrid>
      <w:tr w:rsidR="00566CE2" w:rsidTr="00246C93">
        <w:trPr>
          <w:jc w:val="center"/>
        </w:trPr>
        <w:tc>
          <w:tcPr>
            <w:tcW w:w="4815" w:type="dxa"/>
            <w:hideMark/>
          </w:tcPr>
          <w:p w:rsidR="00246C93" w:rsidRDefault="00A82039">
            <w:pPr>
              <w:pBdr>
                <w:top w:val="nil"/>
                <w:left w:val="nil"/>
                <w:bottom w:val="nil"/>
                <w:right w:val="nil"/>
                <w:between w:val="nil"/>
                <w:bar w:val="nil"/>
              </w:pBdr>
              <w:tabs>
                <w:tab w:val="left" w:pos="3328"/>
              </w:tabs>
              <w:spacing w:before="0" w:after="0" w:line="240" w:lineRule="auto"/>
              <w:jc w:val="center"/>
              <w:rPr>
                <w:b/>
                <w:szCs w:val="24"/>
                <w:bdr w:val="nil"/>
                <w:lang w:val="pt-BR"/>
              </w:rPr>
            </w:pPr>
            <w:r w:rsidRPr="00246C93">
              <w:rPr>
                <w:rFonts w:eastAsia="Calibri"/>
                <w:b/>
                <w:szCs w:val="24"/>
                <w:bdr w:val="nil"/>
                <w:lang w:val="pt-BR" w:eastAsia="en-US"/>
              </w:rPr>
              <w:t xml:space="preserve">Mariana de Lourdes Moreira Lopes Leal </w:t>
            </w:r>
          </w:p>
          <w:p w:rsidR="00246C93" w:rsidRPr="00246C93" w:rsidRDefault="00A82039">
            <w:pPr>
              <w:pBdr>
                <w:top w:val="nil"/>
                <w:left w:val="nil"/>
                <w:bottom w:val="nil"/>
                <w:right w:val="nil"/>
                <w:between w:val="nil"/>
                <w:bar w:val="nil"/>
              </w:pBdr>
              <w:tabs>
                <w:tab w:val="left" w:pos="3328"/>
              </w:tabs>
              <w:spacing w:before="0" w:after="0" w:line="240" w:lineRule="auto"/>
              <w:jc w:val="center"/>
              <w:rPr>
                <w:b/>
                <w:szCs w:val="24"/>
                <w:bdr w:val="nil"/>
                <w:lang w:val="pt-BR"/>
              </w:rPr>
            </w:pPr>
            <w:r w:rsidRPr="00246C93">
              <w:rPr>
                <w:rFonts w:eastAsia="Calibri"/>
                <w:szCs w:val="24"/>
                <w:bdr w:val="nil"/>
                <w:lang w:val="pt-BR" w:eastAsia="en-US"/>
              </w:rPr>
              <w:t>Conselheira</w:t>
            </w:r>
          </w:p>
        </w:tc>
      </w:tr>
    </w:tbl>
    <w:p w:rsidR="00667291" w:rsidRDefault="00667291" w:rsidP="00667291">
      <w:pPr>
        <w:keepLines/>
        <w:pBdr>
          <w:top w:val="nil"/>
          <w:left w:val="nil"/>
          <w:bottom w:val="nil"/>
          <w:right w:val="nil"/>
          <w:between w:val="nil"/>
          <w:bar w:val="nil"/>
        </w:pBdr>
        <w:spacing w:before="0" w:after="0" w:line="360" w:lineRule="auto"/>
        <w:rPr>
          <w:rFonts w:cs="Arial"/>
          <w:sz w:val="23"/>
          <w:szCs w:val="23"/>
          <w:bdr w:val="nil"/>
        </w:rPr>
      </w:pPr>
    </w:p>
    <w:tbl>
      <w:tblPr>
        <w:tblW w:w="0" w:type="auto"/>
        <w:tblLook w:val="04A0" w:firstRow="1" w:lastRow="0" w:firstColumn="1" w:lastColumn="0" w:noHBand="0" w:noVBand="1"/>
      </w:tblPr>
      <w:tblGrid>
        <w:gridCol w:w="5353"/>
        <w:gridCol w:w="3576"/>
      </w:tblGrid>
      <w:tr w:rsidR="00566CE2" w:rsidTr="004E15B7">
        <w:tc>
          <w:tcPr>
            <w:tcW w:w="5353" w:type="dxa"/>
            <w:shd w:val="clear" w:color="auto" w:fill="auto"/>
          </w:tcPr>
          <w:p w:rsidR="005032C0" w:rsidRPr="004E15B7" w:rsidRDefault="005032C0" w:rsidP="004E15B7">
            <w:pPr>
              <w:ind w:right="-567"/>
              <w:rPr>
                <w:rFonts w:eastAsia="Calibri" w:cs="Arial"/>
                <w:bdr w:val="nil"/>
              </w:rPr>
            </w:pPr>
          </w:p>
        </w:tc>
        <w:tc>
          <w:tcPr>
            <w:tcW w:w="3576" w:type="dxa"/>
            <w:shd w:val="clear" w:color="auto" w:fill="auto"/>
          </w:tcPr>
          <w:p w:rsidR="005032C0" w:rsidRPr="004E15B7" w:rsidRDefault="005032C0" w:rsidP="004E15B7">
            <w:pPr>
              <w:ind w:right="-567"/>
              <w:rPr>
                <w:rFonts w:eastAsia="Calibri" w:cs="Arial"/>
                <w:bdr w:val="nil"/>
              </w:rPr>
            </w:pPr>
          </w:p>
        </w:tc>
      </w:tr>
    </w:tbl>
    <w:p w:rsidR="00566CE2" w:rsidRDefault="00566CE2">
      <w:pPr>
        <w:sectPr w:rsidR="00566CE2" w:rsidSect="00D86095">
          <w:headerReference w:type="even" r:id="rId51"/>
          <w:headerReference w:type="default" r:id="rId52"/>
          <w:footerReference w:type="even" r:id="rId53"/>
          <w:footerReference w:type="default" r:id="rId54"/>
          <w:headerReference w:type="first" r:id="rId55"/>
          <w:footerReference w:type="first" r:id="rId56"/>
          <w:type w:val="continuous"/>
          <w:pgSz w:w="11906" w:h="16838"/>
          <w:pgMar w:top="1134" w:right="1134" w:bottom="1134" w:left="1134" w:header="425" w:footer="425" w:gutter="0"/>
          <w:pgBorders>
            <w:top w:val="nil"/>
            <w:left w:val="nil"/>
            <w:bottom w:val="nil"/>
            <w:right w:val="nil"/>
          </w:pgBorders>
          <w:cols w:space="720"/>
          <w:docGrid w:linePitch="360"/>
        </w:sectPr>
      </w:pPr>
    </w:p>
    <w:p w:rsidR="000351B4" w:rsidRDefault="00A82039" w:rsidP="000351B4">
      <w:pPr>
        <w:pageBreakBefore/>
        <w:pBdr>
          <w:top w:val="nil"/>
          <w:left w:val="nil"/>
          <w:bottom w:val="nil"/>
          <w:right w:val="nil"/>
          <w:between w:val="nil"/>
          <w:bar w:val="nil"/>
        </w:pBdr>
        <w:spacing w:before="0" w:after="0"/>
        <w:jc w:val="left"/>
        <w:rPr>
          <w:b/>
          <w:sz w:val="20"/>
          <w:szCs w:val="20"/>
          <w:bdr w:val="nil"/>
          <w:lang w:eastAsia="en-US"/>
        </w:rPr>
      </w:pPr>
      <w:r>
        <w:rPr>
          <w:rFonts w:eastAsia="Calibri"/>
          <w:b/>
          <w:sz w:val="20"/>
          <w:szCs w:val="20"/>
          <w:bdr w:val="nil"/>
          <w:lang w:eastAsia="en-US"/>
        </w:rPr>
        <w:lastRenderedPageBreak/>
        <w:t>DIRETORIA</w:t>
      </w:r>
    </w:p>
    <w:p w:rsidR="000351B4" w:rsidRPr="000351B4" w:rsidRDefault="000351B4" w:rsidP="000351B4">
      <w:pPr>
        <w:pBdr>
          <w:top w:val="nil"/>
          <w:left w:val="nil"/>
          <w:bottom w:val="nil"/>
          <w:right w:val="nil"/>
          <w:between w:val="nil"/>
          <w:bar w:val="nil"/>
        </w:pBdr>
        <w:spacing w:before="0" w:after="0"/>
        <w:jc w:val="left"/>
        <w:rPr>
          <w:b/>
          <w:sz w:val="20"/>
          <w:szCs w:val="20"/>
          <w:bdr w:val="nil"/>
          <w:lang w:eastAsia="en-US"/>
        </w:rPr>
      </w:pPr>
    </w:p>
    <w:p w:rsidR="000351B4" w:rsidRPr="000351B4" w:rsidRDefault="00A82039" w:rsidP="000351B4">
      <w:pPr>
        <w:pBdr>
          <w:top w:val="nil"/>
          <w:left w:val="nil"/>
          <w:bottom w:val="nil"/>
          <w:right w:val="nil"/>
          <w:between w:val="nil"/>
          <w:bar w:val="nil"/>
        </w:pBdr>
        <w:spacing w:before="0" w:after="0"/>
        <w:jc w:val="left"/>
        <w:rPr>
          <w:b/>
          <w:sz w:val="20"/>
          <w:szCs w:val="20"/>
          <w:bdr w:val="nil"/>
          <w:lang w:eastAsia="en-US"/>
        </w:rPr>
      </w:pPr>
      <w:r w:rsidRPr="000351B4">
        <w:rPr>
          <w:rFonts w:eastAsia="Calibri"/>
          <w:b/>
          <w:sz w:val="20"/>
          <w:szCs w:val="20"/>
          <w:bdr w:val="nil"/>
          <w:lang w:eastAsia="en-US"/>
        </w:rPr>
        <w:t>DIRETOR PRESIDENTE</w:t>
      </w:r>
    </w:p>
    <w:p w:rsidR="000351B4" w:rsidRDefault="00A82039" w:rsidP="000351B4">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Gerson Wlaudimir Falcucci</w:t>
      </w:r>
    </w:p>
    <w:p w:rsidR="000351B4" w:rsidRPr="000351B4" w:rsidRDefault="000351B4" w:rsidP="000351B4">
      <w:pPr>
        <w:pBdr>
          <w:top w:val="nil"/>
          <w:left w:val="nil"/>
          <w:bottom w:val="nil"/>
          <w:right w:val="nil"/>
          <w:between w:val="nil"/>
          <w:bar w:val="nil"/>
        </w:pBdr>
        <w:spacing w:before="0" w:after="0"/>
        <w:jc w:val="left"/>
        <w:rPr>
          <w:bdr w:val="nil"/>
          <w:lang w:eastAsia="en-US"/>
        </w:rPr>
      </w:pPr>
    </w:p>
    <w:p w:rsidR="000351B4" w:rsidRPr="000351B4" w:rsidRDefault="00A82039" w:rsidP="000351B4">
      <w:pPr>
        <w:pBdr>
          <w:top w:val="nil"/>
          <w:left w:val="nil"/>
          <w:bottom w:val="nil"/>
          <w:right w:val="nil"/>
          <w:between w:val="nil"/>
          <w:bar w:val="nil"/>
        </w:pBdr>
        <w:spacing w:before="0" w:after="0"/>
        <w:jc w:val="left"/>
        <w:rPr>
          <w:b/>
          <w:sz w:val="20"/>
          <w:szCs w:val="20"/>
          <w:bdr w:val="nil"/>
          <w:lang w:eastAsia="en-US"/>
        </w:rPr>
      </w:pPr>
      <w:r w:rsidRPr="000351B4">
        <w:rPr>
          <w:rFonts w:eastAsia="Calibri"/>
          <w:b/>
          <w:sz w:val="20"/>
          <w:szCs w:val="20"/>
          <w:bdr w:val="nil"/>
          <w:lang w:eastAsia="en-US"/>
        </w:rPr>
        <w:t>DIRETORES</w:t>
      </w:r>
    </w:p>
    <w:p w:rsidR="00A93010" w:rsidRDefault="00A82039" w:rsidP="00A93010">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Aldércio André Lago</w:t>
      </w:r>
    </w:p>
    <w:p w:rsidR="000351B4" w:rsidRPr="00DA6303" w:rsidRDefault="00A82039" w:rsidP="000351B4">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Daison Zuhlsdorff Siefert</w:t>
      </w:r>
    </w:p>
    <w:p w:rsidR="005D0981" w:rsidRDefault="00A82039" w:rsidP="005D0981">
      <w:pPr>
        <w:pBdr>
          <w:top w:val="nil"/>
          <w:left w:val="nil"/>
          <w:bottom w:val="nil"/>
          <w:right w:val="nil"/>
          <w:between w:val="nil"/>
          <w:bar w:val="nil"/>
        </w:pBdr>
        <w:spacing w:before="0" w:after="0"/>
        <w:jc w:val="left"/>
        <w:rPr>
          <w:bdr w:val="nil"/>
          <w:lang w:eastAsia="en-US"/>
        </w:rPr>
      </w:pPr>
      <w:r>
        <w:rPr>
          <w:rFonts w:eastAsia="Calibri"/>
          <w:bdr w:val="nil"/>
          <w:lang w:eastAsia="en-US"/>
        </w:rPr>
        <w:t>Daniel Reginatto Brum</w:t>
      </w:r>
    </w:p>
    <w:p w:rsidR="005D0981" w:rsidRDefault="005D0981" w:rsidP="00DA6303">
      <w:pPr>
        <w:pBdr>
          <w:top w:val="nil"/>
          <w:left w:val="nil"/>
          <w:bottom w:val="nil"/>
          <w:right w:val="nil"/>
          <w:between w:val="nil"/>
          <w:bar w:val="nil"/>
        </w:pBdr>
        <w:spacing w:before="0" w:after="0"/>
        <w:jc w:val="left"/>
        <w:rPr>
          <w:bdr w:val="nil"/>
          <w:lang w:eastAsia="en-US"/>
        </w:rPr>
      </w:pPr>
    </w:p>
    <w:p w:rsidR="00DA6303" w:rsidRPr="000351B4" w:rsidRDefault="00DA6303" w:rsidP="000351B4">
      <w:pPr>
        <w:pBdr>
          <w:top w:val="nil"/>
          <w:left w:val="nil"/>
          <w:bottom w:val="nil"/>
          <w:right w:val="nil"/>
          <w:between w:val="nil"/>
          <w:bar w:val="nil"/>
        </w:pBdr>
        <w:spacing w:before="0" w:after="0"/>
        <w:jc w:val="left"/>
        <w:rPr>
          <w:bdr w:val="nil"/>
          <w:lang w:eastAsia="en-US"/>
        </w:rPr>
      </w:pPr>
    </w:p>
    <w:p w:rsidR="000351B4" w:rsidRPr="000351B4" w:rsidRDefault="00A82039" w:rsidP="000351B4">
      <w:pPr>
        <w:pBdr>
          <w:top w:val="nil"/>
          <w:left w:val="nil"/>
          <w:bottom w:val="nil"/>
          <w:right w:val="nil"/>
          <w:between w:val="nil"/>
          <w:bar w:val="nil"/>
        </w:pBdr>
        <w:spacing w:before="0" w:after="0"/>
        <w:jc w:val="left"/>
        <w:rPr>
          <w:b/>
          <w:sz w:val="20"/>
          <w:szCs w:val="20"/>
          <w:bdr w:val="nil"/>
          <w:lang w:eastAsia="en-US"/>
        </w:rPr>
      </w:pPr>
      <w:r w:rsidRPr="000351B4">
        <w:rPr>
          <w:rFonts w:eastAsia="Calibri"/>
          <w:b/>
          <w:sz w:val="20"/>
          <w:szCs w:val="20"/>
          <w:bdr w:val="nil"/>
          <w:lang w:eastAsia="en-US"/>
        </w:rPr>
        <w:t>CONSELHO DE ADMINISTRAÇÃO</w:t>
      </w:r>
    </w:p>
    <w:p w:rsidR="00DA6303" w:rsidRDefault="00A82039" w:rsidP="00DA6303">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Marco Túlio de Oliveira Mendonça (Presidente)</w:t>
      </w:r>
    </w:p>
    <w:p w:rsidR="00FF420F" w:rsidRDefault="00A82039" w:rsidP="00FF420F">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Bruno Silva Dalcolmo</w:t>
      </w:r>
    </w:p>
    <w:p w:rsidR="00DB1EE1" w:rsidRDefault="00A82039" w:rsidP="00DB1EE1">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José Alípio dos Santos</w:t>
      </w:r>
    </w:p>
    <w:p w:rsidR="00720E7E" w:rsidRDefault="00A82039" w:rsidP="00720E7E">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Júlio César Costa Pinto</w:t>
      </w:r>
    </w:p>
    <w:p w:rsidR="00720E7E" w:rsidRDefault="00A82039" w:rsidP="00720E7E">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Luiz Claudio Batista</w:t>
      </w:r>
    </w:p>
    <w:p w:rsidR="00DB1EE1" w:rsidRDefault="00A82039" w:rsidP="00DB1EE1">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Paulo Cesar Simplicio da Silva</w:t>
      </w:r>
    </w:p>
    <w:p w:rsidR="009341D7" w:rsidRDefault="00A82039" w:rsidP="009341D7">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Ronaldo Simon Ferreira</w:t>
      </w:r>
    </w:p>
    <w:p w:rsidR="000351B4" w:rsidRPr="000351B4" w:rsidRDefault="000351B4" w:rsidP="000351B4">
      <w:pPr>
        <w:pBdr>
          <w:top w:val="nil"/>
          <w:left w:val="nil"/>
          <w:bottom w:val="nil"/>
          <w:right w:val="nil"/>
          <w:between w:val="nil"/>
          <w:bar w:val="nil"/>
        </w:pBdr>
        <w:spacing w:before="0" w:after="0"/>
        <w:jc w:val="left"/>
        <w:rPr>
          <w:bdr w:val="nil"/>
          <w:lang w:eastAsia="en-US"/>
        </w:rPr>
      </w:pPr>
    </w:p>
    <w:p w:rsidR="000351B4" w:rsidRPr="000351B4" w:rsidRDefault="00A82039" w:rsidP="000351B4">
      <w:pPr>
        <w:pBdr>
          <w:top w:val="nil"/>
          <w:left w:val="nil"/>
          <w:bottom w:val="nil"/>
          <w:right w:val="nil"/>
          <w:between w:val="nil"/>
          <w:bar w:val="nil"/>
        </w:pBdr>
        <w:spacing w:before="0" w:after="0"/>
        <w:jc w:val="left"/>
        <w:rPr>
          <w:b/>
          <w:sz w:val="20"/>
          <w:szCs w:val="20"/>
          <w:bdr w:val="nil"/>
          <w:lang w:eastAsia="en-US"/>
        </w:rPr>
      </w:pPr>
      <w:r w:rsidRPr="000351B4">
        <w:rPr>
          <w:rFonts w:eastAsia="Calibri"/>
          <w:b/>
          <w:sz w:val="20"/>
          <w:szCs w:val="20"/>
          <w:bdr w:val="nil"/>
          <w:lang w:eastAsia="en-US"/>
        </w:rPr>
        <w:t>CONSELHO FISCAL</w:t>
      </w:r>
    </w:p>
    <w:p w:rsidR="00FF420F" w:rsidRDefault="00A82039" w:rsidP="00FF420F">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Carlos José da Costa André (Presidente)</w:t>
      </w:r>
    </w:p>
    <w:p w:rsidR="0075250F" w:rsidRDefault="00A82039" w:rsidP="0075250F">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Fernando Avelino Boeschenstein Vieira</w:t>
      </w:r>
    </w:p>
    <w:p w:rsidR="00FF420F" w:rsidRDefault="00A82039" w:rsidP="00FF420F">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Mariana de Lourdes Moreira Lopes Leal</w:t>
      </w:r>
    </w:p>
    <w:p w:rsidR="00CA3792" w:rsidRDefault="00CA3792" w:rsidP="00BC16CC">
      <w:pPr>
        <w:pBdr>
          <w:top w:val="nil"/>
          <w:left w:val="nil"/>
          <w:bottom w:val="nil"/>
          <w:right w:val="nil"/>
          <w:between w:val="nil"/>
          <w:bar w:val="nil"/>
        </w:pBdr>
        <w:spacing w:before="0" w:after="0"/>
        <w:jc w:val="left"/>
        <w:rPr>
          <w:bdr w:val="nil"/>
          <w:lang w:eastAsia="en-US"/>
        </w:rPr>
      </w:pPr>
    </w:p>
    <w:p w:rsidR="00CA03AB" w:rsidRPr="000351B4" w:rsidRDefault="00A82039" w:rsidP="00CA03AB">
      <w:pPr>
        <w:pBdr>
          <w:top w:val="nil"/>
          <w:left w:val="nil"/>
          <w:bottom w:val="nil"/>
          <w:right w:val="nil"/>
          <w:between w:val="nil"/>
          <w:bar w:val="nil"/>
        </w:pBdr>
        <w:spacing w:before="0" w:after="0"/>
        <w:jc w:val="left"/>
        <w:rPr>
          <w:b/>
          <w:sz w:val="20"/>
          <w:szCs w:val="20"/>
          <w:bdr w:val="nil"/>
          <w:lang w:eastAsia="en-US"/>
        </w:rPr>
      </w:pPr>
      <w:r>
        <w:rPr>
          <w:rFonts w:eastAsia="Calibri"/>
          <w:b/>
          <w:sz w:val="20"/>
          <w:szCs w:val="20"/>
          <w:bdr w:val="nil"/>
          <w:lang w:eastAsia="en-US"/>
        </w:rPr>
        <w:t>COMITÊ DE AUDITORIA</w:t>
      </w:r>
    </w:p>
    <w:p w:rsidR="00CA03AB" w:rsidRDefault="00A82039" w:rsidP="00CA03AB">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Antônio Carlos Correia</w:t>
      </w:r>
    </w:p>
    <w:p w:rsidR="00CA03AB" w:rsidRDefault="00A82039" w:rsidP="00CA03AB">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Luiz Serafim Spinola Santos</w:t>
      </w:r>
    </w:p>
    <w:p w:rsidR="00CA03AB" w:rsidRDefault="00A82039" w:rsidP="00CA03AB">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Marcos Tadeu de Siqueira</w:t>
      </w:r>
    </w:p>
    <w:p w:rsidR="00CA03AB" w:rsidRPr="00BC16CC" w:rsidRDefault="00CA03AB" w:rsidP="00CA03AB">
      <w:pPr>
        <w:pBdr>
          <w:top w:val="nil"/>
          <w:left w:val="nil"/>
          <w:bottom w:val="nil"/>
          <w:right w:val="nil"/>
          <w:between w:val="nil"/>
          <w:bar w:val="nil"/>
        </w:pBdr>
        <w:spacing w:before="0" w:after="0"/>
        <w:jc w:val="left"/>
        <w:rPr>
          <w:bdr w:val="nil"/>
          <w:lang w:eastAsia="en-US"/>
        </w:rPr>
      </w:pPr>
    </w:p>
    <w:p w:rsidR="00CA3792" w:rsidRDefault="00A82039" w:rsidP="00CA3792">
      <w:pPr>
        <w:pBdr>
          <w:top w:val="nil"/>
          <w:left w:val="nil"/>
          <w:bottom w:val="nil"/>
          <w:right w:val="nil"/>
          <w:between w:val="nil"/>
          <w:bar w:val="nil"/>
        </w:pBdr>
        <w:spacing w:before="0" w:after="0"/>
        <w:rPr>
          <w:b/>
          <w:smallCaps/>
          <w:sz w:val="20"/>
          <w:bdr w:val="nil"/>
          <w:lang w:eastAsia="en-US"/>
        </w:rPr>
      </w:pPr>
      <w:r>
        <w:rPr>
          <w:rFonts w:eastAsia="Calibri"/>
          <w:b/>
          <w:smallCaps/>
          <w:sz w:val="20"/>
          <w:szCs w:val="22"/>
          <w:bdr w:val="nil"/>
          <w:lang w:eastAsia="en-US"/>
        </w:rPr>
        <w:t>CONTADORIA</w:t>
      </w:r>
      <w:r>
        <w:rPr>
          <w:rFonts w:eastAsia="Calibri"/>
          <w:b/>
          <w:smallCaps/>
          <w:sz w:val="20"/>
          <w:szCs w:val="22"/>
          <w:bdr w:val="nil"/>
          <w:lang w:eastAsia="en-US"/>
        </w:rPr>
        <w:tab/>
      </w:r>
    </w:p>
    <w:p w:rsidR="00BC16CC" w:rsidRDefault="00A82039" w:rsidP="00BC16CC">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Eduardo Cesar Pasa</w:t>
      </w:r>
    </w:p>
    <w:p w:rsidR="00BC16CC" w:rsidRDefault="00A82039" w:rsidP="00BC16CC">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Contador Geral</w:t>
      </w:r>
    </w:p>
    <w:p w:rsidR="00BC16CC" w:rsidRDefault="00A82039" w:rsidP="00BC16CC">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Contador CRC-DF 017601/O-5</w:t>
      </w:r>
    </w:p>
    <w:p w:rsidR="00BC16CC" w:rsidRDefault="00A82039" w:rsidP="00BC16CC">
      <w:pPr>
        <w:pBdr>
          <w:top w:val="nil"/>
          <w:left w:val="nil"/>
          <w:bottom w:val="nil"/>
          <w:right w:val="nil"/>
          <w:between w:val="nil"/>
          <w:bar w:val="nil"/>
        </w:pBdr>
        <w:spacing w:before="0" w:after="0"/>
        <w:jc w:val="left"/>
        <w:rPr>
          <w:bdr w:val="nil"/>
          <w:lang w:eastAsia="en-US"/>
        </w:rPr>
      </w:pPr>
      <w:r w:rsidRPr="00DA6303">
        <w:rPr>
          <w:rFonts w:eastAsia="Calibri"/>
          <w:bdr w:val="nil"/>
          <w:lang w:eastAsia="en-US"/>
        </w:rPr>
        <w:t>CPF 541.035.920-87</w:t>
      </w:r>
    </w:p>
    <w:sectPr w:rsidR="00BC16CC" w:rsidSect="00BA60D6">
      <w:headerReference w:type="even" r:id="rId57"/>
      <w:headerReference w:type="default" r:id="rId58"/>
      <w:footerReference w:type="even" r:id="rId59"/>
      <w:footerReference w:type="default" r:id="rId60"/>
      <w:headerReference w:type="first" r:id="rId61"/>
      <w:footerReference w:type="first" r:id="rId62"/>
      <w:type w:val="continuous"/>
      <w:pgSz w:w="11906" w:h="16838"/>
      <w:pgMar w:top="1134" w:right="1134" w:bottom="1134" w:left="1134" w:header="425" w:footer="425" w:gutter="0"/>
      <w:pgBorders>
        <w:top w:val="nil"/>
        <w:left w:val="nil"/>
        <w:bottom w:val="nil"/>
        <w:right w:val="nil"/>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050F" w:rsidRDefault="00A82039">
      <w:pPr>
        <w:spacing w:before="0" w:after="0" w:line="240" w:lineRule="auto"/>
      </w:pPr>
      <w:r>
        <w:separator/>
      </w:r>
    </w:p>
  </w:endnote>
  <w:endnote w:type="continuationSeparator" w:id="0">
    <w:p w:rsidR="00FF050F" w:rsidRDefault="00A8203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1)">
    <w:altName w:val="Arial"/>
    <w:panose1 w:val="00000000000000000000"/>
    <w:charset w:val="00"/>
    <w:family w:val="swiss"/>
    <w:notTrueType/>
    <w:pitch w:val="variable"/>
    <w:sig w:usb0="00000000" w:usb1="80000000" w:usb2="00000008" w:usb3="00000000" w:csb0="000000FF" w:csb1="00000000"/>
  </w:font>
  <w:font w:name="Times">
    <w:altName w:val="Times New Roman"/>
    <w:panose1 w:val="00000000000000000000"/>
    <w:charset w:val="00"/>
    <w:family w:val="roman"/>
    <w:notTrueType/>
    <w:pitch w:val="variable"/>
    <w:sig w:usb0="00000003" w:usb1="00000000" w:usb2="00000000" w:usb3="00000000" w:csb0="00000001" w:csb1="00000000"/>
  </w:font>
  <w:font w:name="Arial-Bold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D98" w:rsidRDefault="00930D98">
    <w:pPr>
      <w:pBdr>
        <w:top w:val="nil"/>
        <w:left w:val="nil"/>
        <w:bottom w:val="nil"/>
        <w:right w:val="nil"/>
        <w:between w:val="nil"/>
        <w:bar w:val="nil"/>
      </w:pBdr>
      <w:spacing w:before="0" w:after="0" w:line="240" w:lineRule="auto"/>
      <w:jc w:val="left"/>
      <w:rPr>
        <w:rFonts w:ascii="Times New Roman" w:hAnsi="Times New Roman"/>
        <w:sz w:val="24"/>
        <w:szCs w:val="24"/>
        <w:bdr w:val="nil"/>
        <w:lang w:val="en-US" w:eastAsia="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150555;"/>
      <w:id w:val="244721162"/>
      <w:lock w:val="sdtLocked"/>
      <w:placeholder>
        <w:docPart w:val="DefaultPlaceholder_22675703"/>
      </w:placeholder>
    </w:sdtPr>
    <w:sdtEndPr>
      <w:rPr>
        <w:rFonts w:ascii="Times New Roman" w:eastAsia="Times New Roman" w:hAnsi="Times New Roman"/>
        <w:sz w:val="20"/>
        <w:szCs w:val="20"/>
        <w:bdr w:val="nil"/>
      </w:rPr>
    </w:sdtEndPr>
    <w:sdtContent>
      <w:p w:rsidR="006D7F05" w:rsidRDefault="00A82039" w:rsidP="003851F5">
        <w:pPr>
          <w:pStyle w:val="Cabealho"/>
          <w:pBdr>
            <w:top w:val="nil"/>
            <w:left w:val="nil"/>
            <w:bottom w:val="nil"/>
            <w:right w:val="nil"/>
            <w:between w:val="nil"/>
            <w:bar w:val="nil"/>
          </w:pBdr>
          <w:ind w:right="282"/>
          <w:jc w:val="right"/>
          <w:rPr>
            <w:rFonts w:ascii="Arial" w:hAnsi="Arial" w:cs="Arial"/>
            <w:sz w:val="18"/>
            <w:szCs w:val="18"/>
            <w:bdr w:val="nil"/>
          </w:rPr>
        </w:pPr>
        <w:r>
          <w:rPr>
            <w:rFonts w:ascii="Arial" w:hAnsi="Arial" w:cs="Arial"/>
            <w:noProof/>
            <w:sz w:val="16"/>
            <w:szCs w:val="16"/>
            <w:bdr w:val="nil"/>
            <w:lang w:eastAsia="pt-BR"/>
          </w:rPr>
          <w:drawing>
            <wp:anchor distT="0" distB="0" distL="114300" distR="114300" simplePos="0" relativeHeight="251771904" behindDoc="0" locked="0" layoutInCell="1" allowOverlap="1">
              <wp:simplePos x="0" y="0"/>
              <wp:positionH relativeFrom="rightMargin">
                <wp:posOffset>-252730</wp:posOffset>
              </wp:positionH>
              <wp:positionV relativeFrom="paragraph">
                <wp:posOffset>-286344</wp:posOffset>
              </wp:positionV>
              <wp:extent cx="720000" cy="860400"/>
              <wp:effectExtent l="0" t="0" r="4445" b="0"/>
              <wp:wrapNone/>
              <wp:docPr id="144253903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812630" name="carimbo assinado duda faust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noProof/>
            <w:bdr w:val="nil"/>
            <w:lang w:eastAsia="pt-BR"/>
          </w:rPr>
          <mc:AlternateContent>
            <mc:Choice Requires="wps">
              <w:drawing>
                <wp:anchor distT="0" distB="0" distL="114300" distR="114300" simplePos="0" relativeHeight="251763712"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294540010"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FooterPaisagemLinha" o:spid="_x0000_s2059" style="mso-position-horizontal-relative:page;mso-width-percent:0;mso-width-relative:margin;mso-wrap-distance-bottom:0;mso-wrap-distance-left:9pt;mso-wrap-distance-right:9pt;mso-wrap-distance-top:0;position:absolute;v-text-anchor:top;z-index:251762688" from="0,0" to="841.9pt,0" fillcolor="this" stroked="t" strokecolor="#ffd300" strokeweight="5pt"/>
              </w:pict>
            </mc:Fallback>
          </mc:AlternateContent>
        </w:r>
      </w:p>
      <w:sdt>
        <w:sdtPr>
          <w:rPr>
            <w:rFonts w:ascii="Arial" w:hAnsi="Arial" w:cs="Arial"/>
            <w:sz w:val="18"/>
            <w:szCs w:val="18"/>
          </w:rPr>
          <w:id w:val="1271993312"/>
          <w:docPartObj>
            <w:docPartGallery w:val="Page Numbers (Top of Page)"/>
            <w:docPartUnique/>
          </w:docPartObj>
        </w:sdtPr>
        <w:sdtEndPr>
          <w:rPr>
            <w:rFonts w:ascii="Times New Roman" w:eastAsia="Times New Roman" w:hAnsi="Times New Roman" w:cs="Times New Roman"/>
            <w:sz w:val="20"/>
            <w:szCs w:val="20"/>
            <w:bdr w:val="nil"/>
          </w:rPr>
        </w:sdtEndPr>
        <w:sdtContent>
          <w:p w:rsidR="003851F5" w:rsidRDefault="003851F5" w:rsidP="003851F5">
            <w:pPr>
              <w:pStyle w:val="Cabealho"/>
              <w:pBdr>
                <w:top w:val="nil"/>
                <w:left w:val="nil"/>
                <w:bottom w:val="nil"/>
                <w:right w:val="nil"/>
                <w:between w:val="nil"/>
                <w:bar w:val="nil"/>
              </w:pBdr>
              <w:ind w:right="282"/>
              <w:jc w:val="right"/>
              <w:rPr>
                <w:rFonts w:ascii="Arial" w:hAnsi="Arial" w:cs="Arial"/>
                <w:sz w:val="18"/>
                <w:szCs w:val="18"/>
                <w:bdr w:val="nil"/>
              </w:rPr>
            </w:pPr>
          </w:p>
          <w:p w:rsidR="006D7F05" w:rsidRDefault="006D7F05" w:rsidP="003851F5">
            <w:pPr>
              <w:pStyle w:val="Cabealho"/>
              <w:pBdr>
                <w:top w:val="nil"/>
                <w:left w:val="nil"/>
                <w:bottom w:val="nil"/>
                <w:right w:val="nil"/>
                <w:between w:val="nil"/>
                <w:bar w:val="nil"/>
              </w:pBdr>
              <w:ind w:right="282"/>
              <w:jc w:val="right"/>
              <w:rPr>
                <w:rFonts w:ascii="Arial" w:hAnsi="Arial" w:cs="Arial"/>
                <w:sz w:val="18"/>
                <w:szCs w:val="18"/>
                <w:bdr w:val="nil"/>
              </w:rPr>
            </w:pPr>
          </w:p>
          <w:p w:rsidR="00B50F59" w:rsidRPr="00790DB0" w:rsidRDefault="00A82039" w:rsidP="003851F5">
            <w:pPr>
              <w:pStyle w:val="Cabealho"/>
              <w:pBdr>
                <w:top w:val="nil"/>
                <w:left w:val="nil"/>
                <w:bottom w:val="nil"/>
                <w:right w:val="nil"/>
                <w:between w:val="nil"/>
                <w:bar w:val="nil"/>
              </w:pBdr>
              <w:ind w:right="282"/>
              <w:jc w:val="right"/>
              <w:rPr>
                <w:bdr w:val="nil"/>
              </w:rPr>
            </w:pPr>
            <w:r w:rsidRPr="00EC5C98">
              <w:rPr>
                <w:rFonts w:ascii="Arial" w:hAnsi="Arial" w:cs="Arial"/>
                <w:sz w:val="18"/>
                <w:szCs w:val="18"/>
                <w:bdr w:val="nil"/>
              </w:rPr>
              <w:fldChar w:fldCharType="begin"/>
            </w:r>
            <w:r w:rsidRPr="00EC5C98">
              <w:rPr>
                <w:rFonts w:ascii="Arial" w:hAnsi="Arial" w:cs="Arial"/>
                <w:sz w:val="18"/>
                <w:szCs w:val="18"/>
                <w:bdr w:val="nil"/>
              </w:rPr>
              <w:instrText>PAGE   \* MERGEFORMAT</w:instrText>
            </w:r>
            <w:r w:rsidRPr="00EC5C98">
              <w:rPr>
                <w:rFonts w:ascii="Arial" w:hAnsi="Arial" w:cs="Arial"/>
                <w:sz w:val="18"/>
                <w:szCs w:val="18"/>
                <w:bdr w:val="nil"/>
              </w:rPr>
              <w:fldChar w:fldCharType="separate"/>
            </w:r>
            <w:r w:rsidRPr="00EC5C98">
              <w:rPr>
                <w:rFonts w:ascii="Arial" w:hAnsi="Arial" w:cs="Arial"/>
                <w:sz w:val="18"/>
                <w:szCs w:val="18"/>
                <w:bdr w:val="nil"/>
              </w:rPr>
              <w:t>4</w:t>
            </w:r>
            <w:r w:rsidRPr="00EC5C98">
              <w:rPr>
                <w:rFonts w:ascii="Arial" w:hAnsi="Arial" w:cs="Arial"/>
                <w:sz w:val="18"/>
                <w:szCs w:val="18"/>
                <w:bdr w:val="nil"/>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150555;"/>
      <w:id w:val="861741522"/>
      <w:lock w:val="sdtLocked"/>
      <w:placeholder>
        <w:docPart w:val="DefaultPlaceholder_22675703"/>
      </w:placeholder>
    </w:sdtPr>
    <w:sdtEndPr>
      <w:rPr>
        <w:rFonts w:ascii="Times New Roman" w:eastAsia="Times New Roman" w:hAnsi="Times New Roman"/>
        <w:sz w:val="20"/>
        <w:szCs w:val="20"/>
        <w:bdr w:val="nil"/>
      </w:rPr>
    </w:sdtEndPr>
    <w:sdtContent>
      <w:p w:rsidR="006D7F05" w:rsidRDefault="00A82039" w:rsidP="003851F5">
        <w:pPr>
          <w:pStyle w:val="Cabealho"/>
          <w:pBdr>
            <w:top w:val="nil"/>
            <w:left w:val="nil"/>
            <w:bottom w:val="nil"/>
            <w:right w:val="nil"/>
            <w:between w:val="nil"/>
            <w:bar w:val="nil"/>
          </w:pBdr>
          <w:ind w:right="282"/>
          <w:jc w:val="right"/>
          <w:rPr>
            <w:rFonts w:ascii="Arial" w:hAnsi="Arial" w:cs="Arial"/>
            <w:sz w:val="18"/>
            <w:szCs w:val="18"/>
            <w:bdr w:val="nil"/>
          </w:rPr>
        </w:pPr>
        <w:r>
          <w:rPr>
            <w:rFonts w:ascii="Arial" w:hAnsi="Arial" w:cs="Arial"/>
            <w:noProof/>
            <w:sz w:val="16"/>
            <w:szCs w:val="16"/>
            <w:bdr w:val="nil"/>
            <w:lang w:eastAsia="pt-BR"/>
          </w:rPr>
          <w:drawing>
            <wp:anchor distT="0" distB="0" distL="114300" distR="114300" simplePos="0" relativeHeight="251770880" behindDoc="0" locked="0" layoutInCell="1" allowOverlap="1">
              <wp:simplePos x="0" y="0"/>
              <wp:positionH relativeFrom="rightMargin">
                <wp:posOffset>-252730</wp:posOffset>
              </wp:positionH>
              <wp:positionV relativeFrom="paragraph">
                <wp:posOffset>-286344</wp:posOffset>
              </wp:positionV>
              <wp:extent cx="720000" cy="860400"/>
              <wp:effectExtent l="0" t="0" r="4445" b="0"/>
              <wp:wrapNone/>
              <wp:docPr id="49445052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907490" name="carimbo assinado duda faust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noProof/>
            <w:bdr w:val="nil"/>
            <w:lang w:eastAsia="pt-BR"/>
          </w:rPr>
          <mc:AlternateContent>
            <mc:Choice Requires="wps">
              <w:drawing>
                <wp:anchor distT="0" distB="0" distL="114300" distR="114300" simplePos="0" relativeHeight="251761664"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11"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FooterPaisagemLinha" o:spid="_x0000_s2060" style="mso-position-horizontal-relative:page;mso-width-percent:0;mso-width-relative:margin;mso-wrap-distance-bottom:0;mso-wrap-distance-left:9pt;mso-wrap-distance-right:9pt;mso-wrap-distance-top:0;position:absolute;v-text-anchor:top;z-index:251717632" from="0,0" to="841.9pt,0" fillcolor="this" stroked="t" strokecolor="#ffd300" strokeweight="5pt"/>
              </w:pict>
            </mc:Fallback>
          </mc:AlternateContent>
        </w:r>
      </w:p>
      <w:sdt>
        <w:sdtPr>
          <w:rPr>
            <w:rFonts w:ascii="Arial" w:hAnsi="Arial" w:cs="Arial"/>
            <w:sz w:val="18"/>
            <w:szCs w:val="18"/>
          </w:rPr>
          <w:id w:val="-42756480"/>
          <w:docPartObj>
            <w:docPartGallery w:val="Page Numbers (Top of Page)"/>
            <w:docPartUnique/>
          </w:docPartObj>
        </w:sdtPr>
        <w:sdtEndPr>
          <w:rPr>
            <w:rFonts w:ascii="Times New Roman" w:eastAsia="Times New Roman" w:hAnsi="Times New Roman" w:cs="Times New Roman"/>
            <w:sz w:val="20"/>
            <w:szCs w:val="20"/>
            <w:bdr w:val="nil"/>
          </w:rPr>
        </w:sdtEndPr>
        <w:sdtContent>
          <w:p w:rsidR="003851F5" w:rsidRDefault="003851F5" w:rsidP="003851F5">
            <w:pPr>
              <w:pStyle w:val="Cabealho"/>
              <w:pBdr>
                <w:top w:val="nil"/>
                <w:left w:val="nil"/>
                <w:bottom w:val="nil"/>
                <w:right w:val="nil"/>
                <w:between w:val="nil"/>
                <w:bar w:val="nil"/>
              </w:pBdr>
              <w:ind w:right="282"/>
              <w:jc w:val="right"/>
              <w:rPr>
                <w:rFonts w:ascii="Arial" w:hAnsi="Arial" w:cs="Arial"/>
                <w:sz w:val="18"/>
                <w:szCs w:val="18"/>
                <w:bdr w:val="nil"/>
              </w:rPr>
            </w:pPr>
          </w:p>
          <w:p w:rsidR="006D7F05" w:rsidRDefault="006D7F05" w:rsidP="003851F5">
            <w:pPr>
              <w:pStyle w:val="Cabealho"/>
              <w:pBdr>
                <w:top w:val="nil"/>
                <w:left w:val="nil"/>
                <w:bottom w:val="nil"/>
                <w:right w:val="nil"/>
                <w:between w:val="nil"/>
                <w:bar w:val="nil"/>
              </w:pBdr>
              <w:ind w:right="282"/>
              <w:jc w:val="right"/>
              <w:rPr>
                <w:rFonts w:ascii="Arial" w:hAnsi="Arial" w:cs="Arial"/>
                <w:sz w:val="18"/>
                <w:szCs w:val="18"/>
                <w:bdr w:val="nil"/>
              </w:rPr>
            </w:pPr>
          </w:p>
          <w:p w:rsidR="00B50F59" w:rsidRPr="00790DB0" w:rsidRDefault="00A82039" w:rsidP="003851F5">
            <w:pPr>
              <w:pStyle w:val="Cabealho"/>
              <w:pBdr>
                <w:top w:val="nil"/>
                <w:left w:val="nil"/>
                <w:bottom w:val="nil"/>
                <w:right w:val="nil"/>
                <w:between w:val="nil"/>
                <w:bar w:val="nil"/>
              </w:pBdr>
              <w:ind w:right="282"/>
              <w:jc w:val="right"/>
              <w:rPr>
                <w:bdr w:val="nil"/>
              </w:rPr>
            </w:pPr>
            <w:r w:rsidRPr="00EC5C98">
              <w:rPr>
                <w:rFonts w:ascii="Arial" w:hAnsi="Arial" w:cs="Arial"/>
                <w:sz w:val="18"/>
                <w:szCs w:val="18"/>
                <w:bdr w:val="nil"/>
              </w:rPr>
              <w:fldChar w:fldCharType="begin"/>
            </w:r>
            <w:r w:rsidRPr="00EC5C98">
              <w:rPr>
                <w:rFonts w:ascii="Arial" w:hAnsi="Arial" w:cs="Arial"/>
                <w:sz w:val="18"/>
                <w:szCs w:val="18"/>
                <w:bdr w:val="nil"/>
              </w:rPr>
              <w:instrText>PAGE   \* MERGEFORMAT</w:instrText>
            </w:r>
            <w:r w:rsidRPr="00EC5C98">
              <w:rPr>
                <w:rFonts w:ascii="Arial" w:hAnsi="Arial" w:cs="Arial"/>
                <w:sz w:val="18"/>
                <w:szCs w:val="18"/>
                <w:bdr w:val="nil"/>
              </w:rPr>
              <w:fldChar w:fldCharType="separate"/>
            </w:r>
            <w:r w:rsidR="00163922">
              <w:rPr>
                <w:rFonts w:ascii="Arial" w:hAnsi="Arial" w:cs="Arial"/>
                <w:noProof/>
                <w:sz w:val="18"/>
                <w:szCs w:val="18"/>
                <w:bdr w:val="nil"/>
              </w:rPr>
              <w:t>4</w:t>
            </w:r>
            <w:r w:rsidRPr="00EC5C98">
              <w:rPr>
                <w:rFonts w:ascii="Arial" w:hAnsi="Arial" w:cs="Arial"/>
                <w:sz w:val="18"/>
                <w:szCs w:val="18"/>
                <w:bdr w:val="nil"/>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CE2" w:rsidRDefault="00566CE2">
    <w:pPr>
      <w:pBdr>
        <w:top w:val="nil"/>
        <w:left w:val="nil"/>
        <w:bottom w:val="nil"/>
        <w:right w:val="nil"/>
        <w:between w:val="nil"/>
        <w:bar w:val="nil"/>
      </w:pBdr>
      <w:spacing w:before="0" w:after="200"/>
      <w:jc w:val="left"/>
      <w:rPr>
        <w:bdr w:val="nil"/>
        <w:lang w:eastAsia="en-US"/>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150555;"/>
      <w:id w:val="959616613"/>
      <w:lock w:val="sdtLocked"/>
      <w:placeholder>
        <w:docPart w:val="DefaultPlaceholder_22675703"/>
      </w:placeholder>
    </w:sdtPr>
    <w:sdtEndPr/>
    <w:sdtContent>
      <w:p w:rsidR="006D7F05" w:rsidRDefault="00A82039"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r>
          <w:rPr>
            <w:rFonts w:eastAsia="Calibri" w:cs="Arial"/>
            <w:noProof/>
            <w:sz w:val="16"/>
            <w:szCs w:val="16"/>
            <w:bdr w:val="nil"/>
          </w:rPr>
          <w:drawing>
            <wp:anchor distT="0" distB="0" distL="114300" distR="114300" simplePos="0" relativeHeight="251723776" behindDoc="0" locked="0" layoutInCell="1" allowOverlap="1">
              <wp:simplePos x="0" y="0"/>
              <wp:positionH relativeFrom="rightMargin">
                <wp:posOffset>-252730</wp:posOffset>
              </wp:positionH>
              <wp:positionV relativeFrom="paragraph">
                <wp:posOffset>-286344</wp:posOffset>
              </wp:positionV>
              <wp:extent cx="720000" cy="860400"/>
              <wp:effectExtent l="0" t="0" r="4445" b="0"/>
              <wp:wrapNone/>
              <wp:docPr id="104144357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59969" name="carimbo assinado duda faust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noProof/>
            <w:sz w:val="22"/>
            <w:szCs w:val="22"/>
            <w:bdr w:val="nil"/>
          </w:rPr>
          <mc:AlternateContent>
            <mc:Choice Requires="wps">
              <w:drawing>
                <wp:anchor distT="0" distB="0" distL="114300" distR="114300" simplePos="0" relativeHeight="251664384"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1878790604"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FooterPaisagemLinha" o:spid="_x0000_s2067" style="mso-position-horizontal-relative:page;mso-width-percent:0;mso-width-relative:margin;mso-wrap-distance-bottom:0;mso-wrap-distance-left:9pt;mso-wrap-distance-right:9pt;mso-wrap-distance-top:0;position:absolute;v-text-anchor:top;z-index:251663360" from="0,0" to="841.9pt,0" fillcolor="this" stroked="t" strokecolor="#ffd300" strokeweight="5pt"/>
              </w:pict>
            </mc:Fallback>
          </mc:AlternateContent>
        </w:r>
      </w:p>
      <w:sdt>
        <w:sdtPr>
          <w:rPr>
            <w:rFonts w:cs="Arial"/>
          </w:rPr>
          <w:id w:val="988910185"/>
          <w:docPartObj>
            <w:docPartGallery w:val="Page Numbers (Top of Page)"/>
            <w:docPartUnique/>
          </w:docPartObj>
        </w:sdtPr>
        <w:sdtEndPr>
          <w:rPr>
            <w:rFonts w:ascii="Times New Roman" w:hAnsi="Times New Roman" w:cs="Times New Roman"/>
            <w:sz w:val="20"/>
            <w:szCs w:val="20"/>
            <w:bdr w:val="nil"/>
          </w:rPr>
        </w:sdtEndPr>
        <w:sdtContent>
          <w:p w:rsidR="003851F5" w:rsidRDefault="003851F5"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6D7F05" w:rsidRDefault="006D7F05"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B50F59" w:rsidRPr="00790DB0" w:rsidRDefault="00A82039" w:rsidP="003851F5">
            <w:pPr>
              <w:pBdr>
                <w:top w:val="nil"/>
                <w:left w:val="nil"/>
                <w:bottom w:val="nil"/>
                <w:right w:val="nil"/>
                <w:between w:val="nil"/>
                <w:bar w:val="nil"/>
              </w:pBdr>
              <w:tabs>
                <w:tab w:val="center" w:pos="4680"/>
                <w:tab w:val="right" w:pos="9360"/>
              </w:tabs>
              <w:spacing w:before="0" w:after="0" w:line="240" w:lineRule="auto"/>
              <w:ind w:right="282"/>
              <w:jc w:val="right"/>
              <w:rPr>
                <w:rFonts w:ascii="Calibri" w:eastAsia="Calibri" w:hAnsi="Calibri"/>
                <w:sz w:val="22"/>
                <w:szCs w:val="22"/>
                <w:bdr w:val="nil"/>
                <w:lang w:val="en-US" w:eastAsia="en-US"/>
              </w:rPr>
            </w:pPr>
            <w:r w:rsidRPr="00EC5C98">
              <w:rPr>
                <w:rFonts w:eastAsia="Calibri" w:cs="Arial"/>
                <w:bdr w:val="nil"/>
                <w:lang w:eastAsia="en-US"/>
              </w:rPr>
              <w:fldChar w:fldCharType="begin"/>
            </w:r>
            <w:r w:rsidRPr="00EC5C98">
              <w:rPr>
                <w:rFonts w:eastAsia="Calibri" w:cs="Arial"/>
                <w:bdr w:val="nil"/>
                <w:lang w:eastAsia="en-US"/>
              </w:rPr>
              <w:instrText>PAGE   \* MERGEFORMAT</w:instrText>
            </w:r>
            <w:r w:rsidRPr="00EC5C98">
              <w:rPr>
                <w:rFonts w:eastAsia="Calibri" w:cs="Arial"/>
                <w:bdr w:val="nil"/>
                <w:lang w:eastAsia="en-US"/>
              </w:rPr>
              <w:fldChar w:fldCharType="separate"/>
            </w:r>
            <w:r w:rsidRPr="00EC5C98">
              <w:rPr>
                <w:rFonts w:eastAsia="Calibri" w:cs="Arial"/>
                <w:bdr w:val="nil"/>
                <w:lang w:eastAsia="en-US"/>
              </w:rPr>
              <w:t>1</w:t>
            </w:r>
            <w:r w:rsidRPr="00EC5C98">
              <w:rPr>
                <w:rFonts w:eastAsia="Calibri" w:cs="Arial"/>
                <w:bdr w:val="nil"/>
                <w:lang w:eastAsia="en-US"/>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150555;"/>
      <w:id w:val="81343608"/>
      <w:lock w:val="sdtLocked"/>
      <w:placeholder>
        <w:docPart w:val="DefaultPlaceholder_22675703"/>
      </w:placeholder>
    </w:sdtPr>
    <w:sdtEndPr/>
    <w:sdtContent>
      <w:p w:rsidR="006D7F05" w:rsidRDefault="00A82039"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r>
          <w:rPr>
            <w:rFonts w:eastAsia="Calibri" w:cs="Arial"/>
            <w:noProof/>
            <w:sz w:val="16"/>
            <w:szCs w:val="16"/>
            <w:bdr w:val="nil"/>
          </w:rPr>
          <w:drawing>
            <wp:anchor distT="0" distB="0" distL="114300" distR="114300" simplePos="0" relativeHeight="251722752" behindDoc="0" locked="0" layoutInCell="1" allowOverlap="1">
              <wp:simplePos x="0" y="0"/>
              <wp:positionH relativeFrom="rightMargin">
                <wp:posOffset>-252730</wp:posOffset>
              </wp:positionH>
              <wp:positionV relativeFrom="paragraph">
                <wp:posOffset>-286344</wp:posOffset>
              </wp:positionV>
              <wp:extent cx="720000" cy="860400"/>
              <wp:effectExtent l="0" t="0" r="4445" b="0"/>
              <wp:wrapNone/>
              <wp:docPr id="166150657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797577" name="carimbo assinado duda faust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noProof/>
            <w:sz w:val="22"/>
            <w:szCs w:val="22"/>
            <w:bdr w:val="nil"/>
          </w:rPr>
          <mc:AlternateContent>
            <mc:Choice Requires="wps">
              <w:drawing>
                <wp:anchor distT="0" distB="0" distL="114300" distR="114300" simplePos="0" relativeHeight="251662336"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2145301329"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FooterPaisagemLinha" o:spid="_x0000_s2068" style="mso-position-horizontal-relative:page;mso-width-percent:0;mso-width-relative:margin;mso-wrap-distance-bottom:0;mso-wrap-distance-left:9pt;mso-wrap-distance-right:9pt;mso-wrap-distance-top:0;position:absolute;v-text-anchor:top;z-index:251661312" from="0,0" to="841.9pt,0" fillcolor="this" stroked="t" strokecolor="#ffd300" strokeweight="5pt"/>
              </w:pict>
            </mc:Fallback>
          </mc:AlternateContent>
        </w:r>
      </w:p>
      <w:sdt>
        <w:sdtPr>
          <w:rPr>
            <w:rFonts w:cs="Arial"/>
          </w:rPr>
          <w:id w:val="928463119"/>
          <w:docPartObj>
            <w:docPartGallery w:val="Page Numbers (Top of Page)"/>
            <w:docPartUnique/>
          </w:docPartObj>
        </w:sdtPr>
        <w:sdtEndPr>
          <w:rPr>
            <w:rFonts w:ascii="Times New Roman" w:hAnsi="Times New Roman" w:cs="Times New Roman"/>
            <w:sz w:val="20"/>
            <w:szCs w:val="20"/>
            <w:bdr w:val="nil"/>
          </w:rPr>
        </w:sdtEndPr>
        <w:sdtContent>
          <w:p w:rsidR="003851F5" w:rsidRDefault="003851F5"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6D7F05" w:rsidRDefault="006D7F05"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B50F59" w:rsidRPr="00790DB0" w:rsidRDefault="00A82039" w:rsidP="003851F5">
            <w:pPr>
              <w:pBdr>
                <w:top w:val="nil"/>
                <w:left w:val="nil"/>
                <w:bottom w:val="nil"/>
                <w:right w:val="nil"/>
                <w:between w:val="nil"/>
                <w:bar w:val="nil"/>
              </w:pBdr>
              <w:tabs>
                <w:tab w:val="center" w:pos="4680"/>
                <w:tab w:val="right" w:pos="9360"/>
              </w:tabs>
              <w:spacing w:before="0" w:after="0" w:line="240" w:lineRule="auto"/>
              <w:ind w:right="282"/>
              <w:jc w:val="right"/>
              <w:rPr>
                <w:rFonts w:ascii="Calibri" w:eastAsia="Calibri" w:hAnsi="Calibri"/>
                <w:sz w:val="22"/>
                <w:szCs w:val="22"/>
                <w:bdr w:val="nil"/>
                <w:lang w:val="en-US" w:eastAsia="en-US"/>
              </w:rPr>
            </w:pPr>
            <w:r w:rsidRPr="00EC5C98">
              <w:rPr>
                <w:rFonts w:eastAsia="Calibri" w:cs="Arial"/>
                <w:bdr w:val="nil"/>
                <w:lang w:eastAsia="en-US"/>
              </w:rPr>
              <w:fldChar w:fldCharType="begin"/>
            </w:r>
            <w:r w:rsidRPr="00EC5C98">
              <w:rPr>
                <w:rFonts w:eastAsia="Calibri" w:cs="Arial"/>
                <w:bdr w:val="nil"/>
                <w:lang w:eastAsia="en-US"/>
              </w:rPr>
              <w:instrText>PAGE   \* MERGEFORMAT</w:instrText>
            </w:r>
            <w:r w:rsidRPr="00EC5C98">
              <w:rPr>
                <w:rFonts w:eastAsia="Calibri" w:cs="Arial"/>
                <w:bdr w:val="nil"/>
                <w:lang w:eastAsia="en-US"/>
              </w:rPr>
              <w:fldChar w:fldCharType="separate"/>
            </w:r>
            <w:r w:rsidR="00163922">
              <w:rPr>
                <w:rFonts w:eastAsia="Calibri" w:cs="Arial"/>
                <w:noProof/>
                <w:bdr w:val="nil"/>
                <w:lang w:eastAsia="en-US"/>
              </w:rPr>
              <w:t>6</w:t>
            </w:r>
            <w:r w:rsidRPr="00EC5C98">
              <w:rPr>
                <w:rFonts w:eastAsia="Calibri" w:cs="Arial"/>
                <w:bdr w:val="nil"/>
                <w:lang w:eastAsia="en-US"/>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CE2" w:rsidRDefault="00566CE2">
    <w:pPr>
      <w:spacing w:before="0" w:after="0" w:line="240" w:lineRule="auto"/>
      <w:jc w:val="left"/>
      <w:rPr>
        <w:rFonts w:ascii="Times New Roman" w:hAnsi="Times New Roman"/>
        <w:sz w:val="24"/>
        <w:szCs w:val="24"/>
        <w:lang w:val="en-US" w:eastAsia="en-US"/>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150555;"/>
      <w:id w:val="165815674"/>
      <w:lock w:val="sdtLocked"/>
      <w:placeholder>
        <w:docPart w:val="DefaultPlaceholder_22675703"/>
      </w:placeholder>
    </w:sdtPr>
    <w:sdtEndPr/>
    <w:sdtContent>
      <w:p w:rsidR="006D7F05" w:rsidRDefault="00A82039"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r>
          <w:rPr>
            <w:rFonts w:eastAsia="Calibri" w:cs="Arial"/>
            <w:noProof/>
            <w:sz w:val="16"/>
            <w:szCs w:val="16"/>
            <w:bdr w:val="nil"/>
          </w:rPr>
          <w:drawing>
            <wp:anchor distT="0" distB="0" distL="114300" distR="114300" simplePos="0" relativeHeight="251729920" behindDoc="0" locked="0" layoutInCell="1" allowOverlap="1">
              <wp:simplePos x="0" y="0"/>
              <wp:positionH relativeFrom="rightMargin">
                <wp:posOffset>-252730</wp:posOffset>
              </wp:positionH>
              <wp:positionV relativeFrom="paragraph">
                <wp:posOffset>-286344</wp:posOffset>
              </wp:positionV>
              <wp:extent cx="720000" cy="860400"/>
              <wp:effectExtent l="0" t="0" r="4445" b="0"/>
              <wp:wrapNone/>
              <wp:docPr id="177353501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596740" name="carimbo assinado duda faust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noProof/>
            <w:sz w:val="22"/>
            <w:szCs w:val="22"/>
            <w:bdr w:val="nil"/>
          </w:rPr>
          <mc:AlternateContent>
            <mc:Choice Requires="wps">
              <w:drawing>
                <wp:anchor distT="0" distB="0" distL="114300" distR="114300" simplePos="0" relativeHeight="251670528"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7790066"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FooterPaisagemLinha" o:spid="_x0000_s2075" style="mso-position-horizontal-relative:page;mso-width-percent:0;mso-width-relative:margin;mso-wrap-distance-bottom:0;mso-wrap-distance-left:9pt;mso-wrap-distance-right:9pt;mso-wrap-distance-top:0;position:absolute;v-text-anchor:top;z-index:251669504" from="0,0" to="841.9pt,0" fillcolor="this" stroked="t" strokecolor="#ffd300" strokeweight="5pt"/>
              </w:pict>
            </mc:Fallback>
          </mc:AlternateContent>
        </w:r>
      </w:p>
      <w:sdt>
        <w:sdtPr>
          <w:rPr>
            <w:rFonts w:cs="Arial"/>
          </w:rPr>
          <w:id w:val="914099661"/>
          <w:docPartObj>
            <w:docPartGallery w:val="Page Numbers (Top of Page)"/>
            <w:docPartUnique/>
          </w:docPartObj>
        </w:sdtPr>
        <w:sdtEndPr>
          <w:rPr>
            <w:rFonts w:ascii="Times New Roman" w:hAnsi="Times New Roman" w:cs="Times New Roman"/>
            <w:sz w:val="20"/>
            <w:szCs w:val="20"/>
            <w:bdr w:val="nil"/>
          </w:rPr>
        </w:sdtEndPr>
        <w:sdtContent>
          <w:p w:rsidR="003851F5" w:rsidRDefault="003851F5"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6D7F05" w:rsidRDefault="006D7F05"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B50F59" w:rsidRPr="00790DB0" w:rsidRDefault="00A82039" w:rsidP="003851F5">
            <w:pPr>
              <w:pBdr>
                <w:top w:val="nil"/>
                <w:left w:val="nil"/>
                <w:bottom w:val="nil"/>
                <w:right w:val="nil"/>
                <w:between w:val="nil"/>
                <w:bar w:val="nil"/>
              </w:pBdr>
              <w:tabs>
                <w:tab w:val="center" w:pos="4680"/>
                <w:tab w:val="right" w:pos="9360"/>
              </w:tabs>
              <w:spacing w:before="0" w:after="0" w:line="240" w:lineRule="auto"/>
              <w:ind w:right="282"/>
              <w:jc w:val="right"/>
              <w:rPr>
                <w:rFonts w:ascii="Calibri" w:eastAsia="Calibri" w:hAnsi="Calibri"/>
                <w:sz w:val="22"/>
                <w:szCs w:val="22"/>
                <w:bdr w:val="nil"/>
                <w:lang w:val="en-US" w:eastAsia="en-US"/>
              </w:rPr>
            </w:pPr>
            <w:r w:rsidRPr="00EC5C98">
              <w:rPr>
                <w:rFonts w:eastAsia="Calibri" w:cs="Arial"/>
                <w:bdr w:val="nil"/>
                <w:lang w:eastAsia="en-US"/>
              </w:rPr>
              <w:fldChar w:fldCharType="begin"/>
            </w:r>
            <w:r w:rsidRPr="00EC5C98">
              <w:rPr>
                <w:rFonts w:eastAsia="Calibri" w:cs="Arial"/>
                <w:bdr w:val="nil"/>
                <w:lang w:eastAsia="en-US"/>
              </w:rPr>
              <w:instrText>PAGE   \* MERGEFORMAT</w:instrText>
            </w:r>
            <w:r w:rsidRPr="00EC5C98">
              <w:rPr>
                <w:rFonts w:eastAsia="Calibri" w:cs="Arial"/>
                <w:bdr w:val="nil"/>
                <w:lang w:eastAsia="en-US"/>
              </w:rPr>
              <w:fldChar w:fldCharType="separate"/>
            </w:r>
            <w:r w:rsidRPr="00EC5C98">
              <w:rPr>
                <w:rFonts w:eastAsia="Calibri" w:cs="Arial"/>
                <w:bdr w:val="nil"/>
                <w:lang w:eastAsia="en-US"/>
              </w:rPr>
              <w:t>1</w:t>
            </w:r>
            <w:r w:rsidRPr="00EC5C98">
              <w:rPr>
                <w:rFonts w:eastAsia="Calibri" w:cs="Arial"/>
                <w:bdr w:val="nil"/>
                <w:lang w:eastAsia="en-US"/>
              </w:rPr>
              <w:fldChar w:fldCharType="end"/>
            </w:r>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150555;"/>
      <w:id w:val="643231602"/>
      <w:lock w:val="sdtLocked"/>
      <w:placeholder>
        <w:docPart w:val="DefaultPlaceholder_22675703"/>
      </w:placeholder>
    </w:sdtPr>
    <w:sdtEndPr/>
    <w:sdtContent>
      <w:p w:rsidR="006D7F05" w:rsidRDefault="00A82039"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r>
          <w:rPr>
            <w:rFonts w:eastAsia="Calibri" w:cs="Arial"/>
            <w:noProof/>
            <w:sz w:val="16"/>
            <w:szCs w:val="16"/>
            <w:bdr w:val="nil"/>
          </w:rPr>
          <w:drawing>
            <wp:anchor distT="0" distB="0" distL="114300" distR="114300" simplePos="0" relativeHeight="251728896" behindDoc="0" locked="0" layoutInCell="1" allowOverlap="1">
              <wp:simplePos x="0" y="0"/>
              <wp:positionH relativeFrom="rightMargin">
                <wp:posOffset>-252730</wp:posOffset>
              </wp:positionH>
              <wp:positionV relativeFrom="paragraph">
                <wp:posOffset>-286344</wp:posOffset>
              </wp:positionV>
              <wp:extent cx="720000" cy="860400"/>
              <wp:effectExtent l="0" t="0" r="4445" b="0"/>
              <wp:wrapNone/>
              <wp:docPr id="109568694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394500" name="carimbo assinado duda faust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noProof/>
            <w:sz w:val="22"/>
            <w:szCs w:val="22"/>
            <w:bdr w:val="nil"/>
          </w:rPr>
          <mc:AlternateContent>
            <mc:Choice Requires="wps">
              <w:drawing>
                <wp:anchor distT="0" distB="0" distL="114300" distR="114300" simplePos="0" relativeHeight="251668480"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226511104"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FooterPaisagemLinha" o:spid="_x0000_s2076" style="mso-position-horizontal-relative:page;mso-width-percent:0;mso-width-relative:margin;mso-wrap-distance-bottom:0;mso-wrap-distance-left:9pt;mso-wrap-distance-right:9pt;mso-wrap-distance-top:0;position:absolute;v-text-anchor:top;z-index:251667456" from="0,0" to="841.9pt,0" fillcolor="this" stroked="t" strokecolor="#ffd300" strokeweight="5pt"/>
              </w:pict>
            </mc:Fallback>
          </mc:AlternateContent>
        </w:r>
      </w:p>
      <w:sdt>
        <w:sdtPr>
          <w:rPr>
            <w:rFonts w:cs="Arial"/>
          </w:rPr>
          <w:id w:val="1490526897"/>
          <w:docPartObj>
            <w:docPartGallery w:val="Page Numbers (Top of Page)"/>
            <w:docPartUnique/>
          </w:docPartObj>
        </w:sdtPr>
        <w:sdtEndPr>
          <w:rPr>
            <w:rFonts w:ascii="Times New Roman" w:hAnsi="Times New Roman" w:cs="Times New Roman"/>
            <w:sz w:val="20"/>
            <w:szCs w:val="20"/>
            <w:bdr w:val="nil"/>
          </w:rPr>
        </w:sdtEndPr>
        <w:sdtContent>
          <w:p w:rsidR="003851F5" w:rsidRDefault="003851F5"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6D7F05" w:rsidRDefault="006D7F05"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B50F59" w:rsidRPr="00790DB0" w:rsidRDefault="00A82039" w:rsidP="003851F5">
            <w:pPr>
              <w:pBdr>
                <w:top w:val="nil"/>
                <w:left w:val="nil"/>
                <w:bottom w:val="nil"/>
                <w:right w:val="nil"/>
                <w:between w:val="nil"/>
                <w:bar w:val="nil"/>
              </w:pBdr>
              <w:tabs>
                <w:tab w:val="center" w:pos="4680"/>
                <w:tab w:val="right" w:pos="9360"/>
              </w:tabs>
              <w:spacing w:before="0" w:after="0" w:line="240" w:lineRule="auto"/>
              <w:ind w:right="282"/>
              <w:jc w:val="right"/>
              <w:rPr>
                <w:rFonts w:ascii="Calibri" w:eastAsia="Calibri" w:hAnsi="Calibri"/>
                <w:sz w:val="22"/>
                <w:szCs w:val="22"/>
                <w:bdr w:val="nil"/>
                <w:lang w:val="en-US" w:eastAsia="en-US"/>
              </w:rPr>
            </w:pPr>
            <w:r w:rsidRPr="00EC5C98">
              <w:rPr>
                <w:rFonts w:eastAsia="Calibri" w:cs="Arial"/>
                <w:bdr w:val="nil"/>
                <w:lang w:eastAsia="en-US"/>
              </w:rPr>
              <w:fldChar w:fldCharType="begin"/>
            </w:r>
            <w:r w:rsidRPr="00EC5C98">
              <w:rPr>
                <w:rFonts w:eastAsia="Calibri" w:cs="Arial"/>
                <w:bdr w:val="nil"/>
                <w:lang w:eastAsia="en-US"/>
              </w:rPr>
              <w:instrText>PAGE   \* MERGEFORMAT</w:instrText>
            </w:r>
            <w:r w:rsidRPr="00EC5C98">
              <w:rPr>
                <w:rFonts w:eastAsia="Calibri" w:cs="Arial"/>
                <w:bdr w:val="nil"/>
                <w:lang w:eastAsia="en-US"/>
              </w:rPr>
              <w:fldChar w:fldCharType="separate"/>
            </w:r>
            <w:r w:rsidR="00163922">
              <w:rPr>
                <w:rFonts w:eastAsia="Calibri" w:cs="Arial"/>
                <w:noProof/>
                <w:bdr w:val="nil"/>
                <w:lang w:eastAsia="en-US"/>
              </w:rPr>
              <w:t>7</w:t>
            </w:r>
            <w:r w:rsidRPr="00EC5C98">
              <w:rPr>
                <w:rFonts w:eastAsia="Calibri" w:cs="Arial"/>
                <w:bdr w:val="nil"/>
                <w:lang w:eastAsia="en-US"/>
              </w:rPr>
              <w:fldChar w:fldCharType="end"/>
            </w:r>
          </w:p>
        </w:sdtContent>
      </w:sdt>
    </w:sdtContent>
  </w:sdt>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CE2" w:rsidRDefault="00566CE2">
    <w:pPr>
      <w:spacing w:before="0" w:after="0" w:line="240" w:lineRule="auto"/>
      <w:jc w:val="left"/>
      <w:rPr>
        <w:rFonts w:ascii="Times New Roman" w:hAnsi="Times New Roman"/>
        <w:sz w:val="24"/>
        <w:szCs w:val="24"/>
        <w:lang w:val="en-US" w:eastAsia="en-US"/>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150555;"/>
      <w:id w:val="1303328560"/>
      <w:lock w:val="sdtLocked"/>
      <w:placeholder>
        <w:docPart w:val="DefaultPlaceholder_22675703"/>
      </w:placeholder>
    </w:sdtPr>
    <w:sdtEndPr/>
    <w:sdtContent>
      <w:p w:rsidR="006D7F05" w:rsidRDefault="00A82039"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r>
          <w:rPr>
            <w:rFonts w:eastAsia="Calibri" w:cs="Arial"/>
            <w:noProof/>
            <w:sz w:val="16"/>
            <w:szCs w:val="16"/>
            <w:bdr w:val="nil"/>
          </w:rPr>
          <w:drawing>
            <wp:anchor distT="0" distB="0" distL="114300" distR="114300" simplePos="0" relativeHeight="251736064" behindDoc="0" locked="0" layoutInCell="1" allowOverlap="1">
              <wp:simplePos x="0" y="0"/>
              <wp:positionH relativeFrom="rightMargin">
                <wp:posOffset>-252730</wp:posOffset>
              </wp:positionH>
              <wp:positionV relativeFrom="paragraph">
                <wp:posOffset>-286344</wp:posOffset>
              </wp:positionV>
              <wp:extent cx="720000" cy="860400"/>
              <wp:effectExtent l="0" t="0" r="4445" b="0"/>
              <wp:wrapNone/>
              <wp:docPr id="72642319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850965" name="carimbo assinado duda faust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noProof/>
            <w:sz w:val="22"/>
            <w:szCs w:val="22"/>
            <w:bdr w:val="nil"/>
          </w:rPr>
          <mc:AlternateContent>
            <mc:Choice Requires="wps">
              <w:drawing>
                <wp:anchor distT="0" distB="0" distL="114300" distR="114300" simplePos="0" relativeHeight="251676672"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1672093083"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FooterPaisagemLinha" o:spid="_x0000_s2083" style="mso-position-horizontal-relative:page;mso-width-percent:0;mso-width-relative:margin;mso-wrap-distance-bottom:0;mso-wrap-distance-left:9pt;mso-wrap-distance-right:9pt;mso-wrap-distance-top:0;position:absolute;v-text-anchor:top;z-index:251675648" from="0,0" to="841.9pt,0" fillcolor="this" stroked="t" strokecolor="#ffd300" strokeweight="5pt"/>
              </w:pict>
            </mc:Fallback>
          </mc:AlternateContent>
        </w:r>
      </w:p>
      <w:sdt>
        <w:sdtPr>
          <w:rPr>
            <w:rFonts w:cs="Arial"/>
          </w:rPr>
          <w:id w:val="263572117"/>
          <w:docPartObj>
            <w:docPartGallery w:val="Page Numbers (Top of Page)"/>
            <w:docPartUnique/>
          </w:docPartObj>
        </w:sdtPr>
        <w:sdtEndPr>
          <w:rPr>
            <w:rFonts w:ascii="Times New Roman" w:hAnsi="Times New Roman" w:cs="Times New Roman"/>
            <w:sz w:val="20"/>
            <w:szCs w:val="20"/>
            <w:bdr w:val="nil"/>
          </w:rPr>
        </w:sdtEndPr>
        <w:sdtContent>
          <w:p w:rsidR="003851F5" w:rsidRDefault="003851F5"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6D7F05" w:rsidRDefault="006D7F05"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B50F59" w:rsidRPr="00790DB0" w:rsidRDefault="00A82039" w:rsidP="003851F5">
            <w:pPr>
              <w:pBdr>
                <w:top w:val="nil"/>
                <w:left w:val="nil"/>
                <w:bottom w:val="nil"/>
                <w:right w:val="nil"/>
                <w:between w:val="nil"/>
                <w:bar w:val="nil"/>
              </w:pBdr>
              <w:tabs>
                <w:tab w:val="center" w:pos="4680"/>
                <w:tab w:val="right" w:pos="9360"/>
              </w:tabs>
              <w:spacing w:before="0" w:after="0" w:line="240" w:lineRule="auto"/>
              <w:ind w:right="282"/>
              <w:jc w:val="right"/>
              <w:rPr>
                <w:rFonts w:ascii="Calibri" w:eastAsia="Calibri" w:hAnsi="Calibri"/>
                <w:sz w:val="22"/>
                <w:szCs w:val="22"/>
                <w:bdr w:val="nil"/>
                <w:lang w:val="en-US" w:eastAsia="en-US"/>
              </w:rPr>
            </w:pPr>
            <w:r w:rsidRPr="00EC5C98">
              <w:rPr>
                <w:rFonts w:eastAsia="Calibri" w:cs="Arial"/>
                <w:bdr w:val="nil"/>
                <w:lang w:eastAsia="en-US"/>
              </w:rPr>
              <w:fldChar w:fldCharType="begin"/>
            </w:r>
            <w:r w:rsidRPr="00EC5C98">
              <w:rPr>
                <w:rFonts w:eastAsia="Calibri" w:cs="Arial"/>
                <w:bdr w:val="nil"/>
                <w:lang w:eastAsia="en-US"/>
              </w:rPr>
              <w:instrText>PAGE   \* MERGEFORMAT</w:instrText>
            </w:r>
            <w:r w:rsidRPr="00EC5C98">
              <w:rPr>
                <w:rFonts w:eastAsia="Calibri" w:cs="Arial"/>
                <w:bdr w:val="nil"/>
                <w:lang w:eastAsia="en-US"/>
              </w:rPr>
              <w:fldChar w:fldCharType="separate"/>
            </w:r>
            <w:r w:rsidRPr="00EC5C98">
              <w:rPr>
                <w:rFonts w:eastAsia="Calibri" w:cs="Arial"/>
                <w:bdr w:val="nil"/>
                <w:lang w:eastAsia="en-US"/>
              </w:rPr>
              <w:t>1</w:t>
            </w:r>
            <w:r w:rsidRPr="00EC5C98">
              <w:rPr>
                <w:rFonts w:eastAsia="Calibri" w:cs="Arial"/>
                <w:bdr w:val="nil"/>
                <w:lang w:eastAsia="en-US"/>
              </w:rPr>
              <w:fldChar w:fldCharType="end"/>
            </w:r>
          </w:p>
        </w:sdtContent>
      </w:sdt>
    </w:sdtContent>
  </w:sdt>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150555;"/>
      <w:id w:val="144348392"/>
      <w:lock w:val="sdtLocked"/>
      <w:placeholder>
        <w:docPart w:val="DefaultPlaceholder_22675703"/>
      </w:placeholder>
    </w:sdtPr>
    <w:sdtEndPr/>
    <w:sdtContent>
      <w:p w:rsidR="006D7F05" w:rsidRDefault="00A82039"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r>
          <w:rPr>
            <w:rFonts w:eastAsia="Calibri" w:cs="Arial"/>
            <w:noProof/>
            <w:sz w:val="16"/>
            <w:szCs w:val="16"/>
            <w:bdr w:val="nil"/>
          </w:rPr>
          <w:drawing>
            <wp:anchor distT="0" distB="0" distL="114300" distR="114300" simplePos="0" relativeHeight="251735040" behindDoc="0" locked="0" layoutInCell="1" allowOverlap="1">
              <wp:simplePos x="0" y="0"/>
              <wp:positionH relativeFrom="rightMargin">
                <wp:posOffset>-252730</wp:posOffset>
              </wp:positionH>
              <wp:positionV relativeFrom="paragraph">
                <wp:posOffset>-286344</wp:posOffset>
              </wp:positionV>
              <wp:extent cx="720000" cy="860400"/>
              <wp:effectExtent l="0" t="0" r="4445" b="0"/>
              <wp:wrapNone/>
              <wp:docPr id="53174728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806874" name="carimbo assinado duda faust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noProof/>
            <w:sz w:val="22"/>
            <w:szCs w:val="22"/>
            <w:bdr w:val="nil"/>
          </w:rPr>
          <mc:AlternateContent>
            <mc:Choice Requires="wps">
              <w:drawing>
                <wp:anchor distT="0" distB="0" distL="114300" distR="114300" simplePos="0" relativeHeight="251674624"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1037475948"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FooterPaisagemLinha" o:spid="_x0000_s2084" style="mso-position-horizontal-relative:page;mso-width-percent:0;mso-width-relative:margin;mso-wrap-distance-bottom:0;mso-wrap-distance-left:9pt;mso-wrap-distance-right:9pt;mso-wrap-distance-top:0;position:absolute;v-text-anchor:top;z-index:251673600" from="0,0" to="841.9pt,0" fillcolor="this" stroked="t" strokecolor="#ffd300" strokeweight="5pt"/>
              </w:pict>
            </mc:Fallback>
          </mc:AlternateContent>
        </w:r>
      </w:p>
      <w:sdt>
        <w:sdtPr>
          <w:rPr>
            <w:rFonts w:cs="Arial"/>
          </w:rPr>
          <w:id w:val="978230956"/>
          <w:docPartObj>
            <w:docPartGallery w:val="Page Numbers (Top of Page)"/>
            <w:docPartUnique/>
          </w:docPartObj>
        </w:sdtPr>
        <w:sdtEndPr>
          <w:rPr>
            <w:rFonts w:ascii="Times New Roman" w:hAnsi="Times New Roman" w:cs="Times New Roman"/>
            <w:sz w:val="20"/>
            <w:szCs w:val="20"/>
            <w:bdr w:val="nil"/>
          </w:rPr>
        </w:sdtEndPr>
        <w:sdtContent>
          <w:p w:rsidR="003851F5" w:rsidRDefault="003851F5"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6D7F05" w:rsidRDefault="006D7F05" w:rsidP="003851F5">
            <w:pPr>
              <w:pBdr>
                <w:top w:val="nil"/>
                <w:left w:val="nil"/>
                <w:bottom w:val="nil"/>
                <w:right w:val="nil"/>
                <w:between w:val="nil"/>
                <w:bar w:val="nil"/>
              </w:pBdr>
              <w:tabs>
                <w:tab w:val="center" w:pos="4680"/>
                <w:tab w:val="right" w:pos="9360"/>
              </w:tabs>
              <w:spacing w:before="0" w:after="0" w:line="240" w:lineRule="auto"/>
              <w:ind w:right="282"/>
              <w:jc w:val="right"/>
              <w:rPr>
                <w:rFonts w:eastAsia="Calibri" w:cs="Arial"/>
                <w:bdr w:val="nil"/>
                <w:lang w:val="en-US" w:eastAsia="en-US"/>
              </w:rPr>
            </w:pPr>
          </w:p>
          <w:p w:rsidR="00B50F59" w:rsidRPr="00790DB0" w:rsidRDefault="00A82039" w:rsidP="003851F5">
            <w:pPr>
              <w:pBdr>
                <w:top w:val="nil"/>
                <w:left w:val="nil"/>
                <w:bottom w:val="nil"/>
                <w:right w:val="nil"/>
                <w:between w:val="nil"/>
                <w:bar w:val="nil"/>
              </w:pBdr>
              <w:tabs>
                <w:tab w:val="center" w:pos="4680"/>
                <w:tab w:val="right" w:pos="9360"/>
              </w:tabs>
              <w:spacing w:before="0" w:after="0" w:line="240" w:lineRule="auto"/>
              <w:ind w:right="282"/>
              <w:jc w:val="right"/>
              <w:rPr>
                <w:rFonts w:ascii="Calibri" w:eastAsia="Calibri" w:hAnsi="Calibri"/>
                <w:sz w:val="22"/>
                <w:szCs w:val="22"/>
                <w:bdr w:val="nil"/>
                <w:lang w:val="en-US" w:eastAsia="en-US"/>
              </w:rPr>
            </w:pPr>
            <w:r w:rsidRPr="00EC5C98">
              <w:rPr>
                <w:rFonts w:eastAsia="Calibri" w:cs="Arial"/>
                <w:bdr w:val="nil"/>
                <w:lang w:eastAsia="en-US"/>
              </w:rPr>
              <w:fldChar w:fldCharType="begin"/>
            </w:r>
            <w:r w:rsidRPr="00EC5C98">
              <w:rPr>
                <w:rFonts w:eastAsia="Calibri" w:cs="Arial"/>
                <w:bdr w:val="nil"/>
                <w:lang w:eastAsia="en-US"/>
              </w:rPr>
              <w:instrText>PAGE   \* MERGEFORMAT</w:instrText>
            </w:r>
            <w:r w:rsidRPr="00EC5C98">
              <w:rPr>
                <w:rFonts w:eastAsia="Calibri" w:cs="Arial"/>
                <w:bdr w:val="nil"/>
                <w:lang w:eastAsia="en-US"/>
              </w:rPr>
              <w:fldChar w:fldCharType="separate"/>
            </w:r>
            <w:r w:rsidR="00163922">
              <w:rPr>
                <w:rFonts w:eastAsia="Calibri" w:cs="Arial"/>
                <w:noProof/>
                <w:bdr w:val="nil"/>
                <w:lang w:eastAsia="en-US"/>
              </w:rPr>
              <w:t>9</w:t>
            </w:r>
            <w:r w:rsidRPr="00EC5C98">
              <w:rPr>
                <w:rFonts w:eastAsia="Calibri" w:cs="Arial"/>
                <w:bdr w:val="nil"/>
                <w:lang w:eastAsia="en-US"/>
              </w:rPr>
              <w:fldChar w:fldCharType="end"/>
            </w:r>
          </w:p>
        </w:sdtContent>
      </w:sdt>
    </w:sdtContent>
  </w:sdt>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CE2" w:rsidRDefault="00566CE2">
    <w:pPr>
      <w:spacing w:before="0" w:after="0" w:line="240" w:lineRule="auto"/>
      <w:jc w:val="left"/>
      <w:rPr>
        <w:rFonts w:ascii="Times New Roman" w:hAnsi="Times New Roman"/>
        <w:sz w:val="24"/>
        <w:szCs w:val="24"/>
        <w:lang w:val="en-US" w:eastAsia="en-US"/>
      </w:rP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150555;"/>
      <w:id w:val="513658691"/>
      <w:lock w:val="sdtLocked"/>
      <w:placeholder>
        <w:docPart w:val="DefaultPlaceholder_22675703"/>
      </w:placeholder>
    </w:sdtPr>
    <w:sdtEndPr>
      <w:rPr>
        <w:rFonts w:ascii="Times New Roman" w:eastAsia="Times New Roman" w:hAnsi="Times New Roman"/>
        <w:sz w:val="20"/>
        <w:szCs w:val="20"/>
        <w:bdr w:val="nil"/>
      </w:rPr>
    </w:sdtEndPr>
    <w:sdtContent>
      <w:p w:rsidR="006D7F05" w:rsidRDefault="00A82039" w:rsidP="003851F5">
        <w:pPr>
          <w:pStyle w:val="Cabealho"/>
          <w:pBdr>
            <w:top w:val="nil"/>
            <w:left w:val="nil"/>
            <w:bottom w:val="nil"/>
            <w:right w:val="nil"/>
            <w:between w:val="nil"/>
            <w:bar w:val="nil"/>
          </w:pBdr>
          <w:ind w:right="282"/>
          <w:jc w:val="right"/>
          <w:rPr>
            <w:rFonts w:ascii="Arial" w:hAnsi="Arial" w:cs="Arial"/>
            <w:sz w:val="18"/>
            <w:szCs w:val="18"/>
            <w:bdr w:val="nil"/>
          </w:rPr>
        </w:pPr>
        <w:r>
          <w:rPr>
            <w:rFonts w:ascii="Arial" w:hAnsi="Arial" w:cs="Arial"/>
            <w:noProof/>
            <w:sz w:val="16"/>
            <w:szCs w:val="16"/>
            <w:bdr w:val="nil"/>
            <w:lang w:eastAsia="pt-BR"/>
          </w:rPr>
          <w:drawing>
            <wp:anchor distT="0" distB="0" distL="114300" distR="114300" simplePos="0" relativeHeight="251742208" behindDoc="0" locked="0" layoutInCell="1" allowOverlap="1">
              <wp:simplePos x="0" y="0"/>
              <wp:positionH relativeFrom="rightMargin">
                <wp:posOffset>-252730</wp:posOffset>
              </wp:positionH>
              <wp:positionV relativeFrom="paragraph">
                <wp:posOffset>-286344</wp:posOffset>
              </wp:positionV>
              <wp:extent cx="720000" cy="860400"/>
              <wp:effectExtent l="0" t="0" r="4445" b="0"/>
              <wp:wrapNone/>
              <wp:docPr id="63526536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813223" name="carimbo assinado duda faust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noProof/>
            <w:bdr w:val="nil"/>
            <w:lang w:eastAsia="pt-BR"/>
          </w:rPr>
          <mc:AlternateContent>
            <mc:Choice Requires="wps">
              <w:drawing>
                <wp:anchor distT="0" distB="0" distL="114300" distR="114300" simplePos="0" relativeHeight="251682816"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1771633200"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FooterPaisagemLinha" o:spid="_x0000_s2091" style="mso-position-horizontal-relative:page;mso-width-percent:0;mso-width-relative:margin;mso-wrap-distance-bottom:0;mso-wrap-distance-left:9pt;mso-wrap-distance-right:9pt;mso-wrap-distance-top:0;position:absolute;v-text-anchor:top;z-index:251681792" from="0,0" to="841.9pt,0" fillcolor="this" stroked="t" strokecolor="#ffd300" strokeweight="5pt"/>
              </w:pict>
            </mc:Fallback>
          </mc:AlternateContent>
        </w:r>
      </w:p>
      <w:sdt>
        <w:sdtPr>
          <w:rPr>
            <w:rFonts w:ascii="Arial" w:hAnsi="Arial" w:cs="Arial"/>
            <w:sz w:val="18"/>
            <w:szCs w:val="18"/>
          </w:rPr>
          <w:id w:val="1631820937"/>
          <w:docPartObj>
            <w:docPartGallery w:val="Page Numbers (Top of Page)"/>
            <w:docPartUnique/>
          </w:docPartObj>
        </w:sdtPr>
        <w:sdtEndPr>
          <w:rPr>
            <w:rFonts w:ascii="Times New Roman" w:eastAsia="Times New Roman" w:hAnsi="Times New Roman" w:cs="Times New Roman"/>
            <w:sz w:val="20"/>
            <w:szCs w:val="20"/>
            <w:bdr w:val="nil"/>
          </w:rPr>
        </w:sdtEndPr>
        <w:sdtContent>
          <w:p w:rsidR="003851F5" w:rsidRDefault="003851F5" w:rsidP="003851F5">
            <w:pPr>
              <w:pStyle w:val="Cabealho"/>
              <w:pBdr>
                <w:top w:val="nil"/>
                <w:left w:val="nil"/>
                <w:bottom w:val="nil"/>
                <w:right w:val="nil"/>
                <w:between w:val="nil"/>
                <w:bar w:val="nil"/>
              </w:pBdr>
              <w:ind w:right="282"/>
              <w:jc w:val="right"/>
              <w:rPr>
                <w:rFonts w:ascii="Arial" w:hAnsi="Arial" w:cs="Arial"/>
                <w:sz w:val="18"/>
                <w:szCs w:val="18"/>
                <w:bdr w:val="nil"/>
              </w:rPr>
            </w:pPr>
          </w:p>
          <w:p w:rsidR="006D7F05" w:rsidRDefault="006D7F05" w:rsidP="003851F5">
            <w:pPr>
              <w:pStyle w:val="Cabealho"/>
              <w:pBdr>
                <w:top w:val="nil"/>
                <w:left w:val="nil"/>
                <w:bottom w:val="nil"/>
                <w:right w:val="nil"/>
                <w:between w:val="nil"/>
                <w:bar w:val="nil"/>
              </w:pBdr>
              <w:ind w:right="282"/>
              <w:jc w:val="right"/>
              <w:rPr>
                <w:rFonts w:ascii="Arial" w:hAnsi="Arial" w:cs="Arial"/>
                <w:sz w:val="18"/>
                <w:szCs w:val="18"/>
                <w:bdr w:val="nil"/>
              </w:rPr>
            </w:pPr>
          </w:p>
          <w:p w:rsidR="00B50F59" w:rsidRPr="00790DB0" w:rsidRDefault="00A82039" w:rsidP="003851F5">
            <w:pPr>
              <w:pStyle w:val="Cabealho"/>
              <w:pBdr>
                <w:top w:val="nil"/>
                <w:left w:val="nil"/>
                <w:bottom w:val="nil"/>
                <w:right w:val="nil"/>
                <w:between w:val="nil"/>
                <w:bar w:val="nil"/>
              </w:pBdr>
              <w:ind w:right="282"/>
              <w:jc w:val="right"/>
              <w:rPr>
                <w:bdr w:val="nil"/>
              </w:rPr>
            </w:pPr>
            <w:r w:rsidRPr="00EC5C98">
              <w:rPr>
                <w:rFonts w:ascii="Arial" w:hAnsi="Arial" w:cs="Arial"/>
                <w:sz w:val="18"/>
                <w:szCs w:val="18"/>
                <w:bdr w:val="nil"/>
              </w:rPr>
              <w:fldChar w:fldCharType="begin"/>
            </w:r>
            <w:r w:rsidRPr="00EC5C98">
              <w:rPr>
                <w:rFonts w:ascii="Arial" w:hAnsi="Arial" w:cs="Arial"/>
                <w:sz w:val="18"/>
                <w:szCs w:val="18"/>
                <w:bdr w:val="nil"/>
              </w:rPr>
              <w:instrText>PAGE   \* MERGEFORMAT</w:instrText>
            </w:r>
            <w:r w:rsidRPr="00EC5C98">
              <w:rPr>
                <w:rFonts w:ascii="Arial" w:hAnsi="Arial" w:cs="Arial"/>
                <w:sz w:val="18"/>
                <w:szCs w:val="18"/>
                <w:bdr w:val="nil"/>
              </w:rPr>
              <w:fldChar w:fldCharType="separate"/>
            </w:r>
            <w:r w:rsidRPr="00EC5C98">
              <w:rPr>
                <w:rFonts w:ascii="Arial" w:hAnsi="Arial" w:cs="Arial"/>
                <w:sz w:val="18"/>
                <w:szCs w:val="18"/>
                <w:bdr w:val="nil"/>
              </w:rPr>
              <w:t>1</w:t>
            </w:r>
            <w:r w:rsidRPr="00EC5C98">
              <w:rPr>
                <w:rFonts w:ascii="Arial" w:hAnsi="Arial" w:cs="Arial"/>
                <w:sz w:val="18"/>
                <w:szCs w:val="18"/>
                <w:bdr w:val="nil"/>
              </w:rPr>
              <w:fldChar w:fldCharType="end"/>
            </w:r>
          </w:p>
        </w:sdtContent>
      </w:sdt>
    </w:sdtContent>
  </w:sdt>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150555;"/>
      <w:id w:val="237119991"/>
      <w:lock w:val="sdtLocked"/>
      <w:placeholder>
        <w:docPart w:val="DefaultPlaceholder_22675703"/>
      </w:placeholder>
    </w:sdtPr>
    <w:sdtEndPr>
      <w:rPr>
        <w:rFonts w:ascii="Times New Roman" w:eastAsia="Times New Roman" w:hAnsi="Times New Roman"/>
        <w:sz w:val="20"/>
        <w:szCs w:val="20"/>
        <w:bdr w:val="nil"/>
      </w:rPr>
    </w:sdtEndPr>
    <w:sdtContent>
      <w:p w:rsidR="006D7F05" w:rsidRDefault="00A82039" w:rsidP="003851F5">
        <w:pPr>
          <w:pStyle w:val="Cabealho"/>
          <w:pBdr>
            <w:top w:val="nil"/>
            <w:left w:val="nil"/>
            <w:bottom w:val="nil"/>
            <w:right w:val="nil"/>
            <w:between w:val="nil"/>
            <w:bar w:val="nil"/>
          </w:pBdr>
          <w:ind w:right="282"/>
          <w:jc w:val="right"/>
          <w:rPr>
            <w:rFonts w:ascii="Arial" w:hAnsi="Arial" w:cs="Arial"/>
            <w:sz w:val="18"/>
            <w:szCs w:val="18"/>
            <w:bdr w:val="nil"/>
          </w:rPr>
        </w:pPr>
        <w:r>
          <w:rPr>
            <w:rFonts w:ascii="Arial" w:hAnsi="Arial" w:cs="Arial"/>
            <w:noProof/>
            <w:sz w:val="16"/>
            <w:szCs w:val="16"/>
            <w:bdr w:val="nil"/>
            <w:lang w:eastAsia="pt-BR"/>
          </w:rPr>
          <w:drawing>
            <wp:anchor distT="0" distB="0" distL="114300" distR="114300" simplePos="0" relativeHeight="251741184" behindDoc="0" locked="0" layoutInCell="1" allowOverlap="1">
              <wp:simplePos x="0" y="0"/>
              <wp:positionH relativeFrom="rightMargin">
                <wp:posOffset>-252730</wp:posOffset>
              </wp:positionH>
              <wp:positionV relativeFrom="paragraph">
                <wp:posOffset>-286344</wp:posOffset>
              </wp:positionV>
              <wp:extent cx="720000" cy="860400"/>
              <wp:effectExtent l="0" t="0" r="4445" b="0"/>
              <wp:wrapNone/>
              <wp:docPr id="43811335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766698" name="carimbo assinado duda faust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noProof/>
            <w:bdr w:val="nil"/>
            <w:lang w:eastAsia="pt-BR"/>
          </w:rPr>
          <mc:AlternateContent>
            <mc:Choice Requires="wps">
              <w:drawing>
                <wp:anchor distT="0" distB="0" distL="114300" distR="114300" simplePos="0" relativeHeight="251680768"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1581550822"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FooterPaisagemLinha" o:spid="_x0000_s2092" style="mso-position-horizontal-relative:page;mso-width-percent:0;mso-width-relative:margin;mso-wrap-distance-bottom:0;mso-wrap-distance-left:9pt;mso-wrap-distance-right:9pt;mso-wrap-distance-top:0;position:absolute;v-text-anchor:top;z-index:251679744" from="0,0" to="841.9pt,0" fillcolor="this" stroked="t" strokecolor="#ffd300" strokeweight="5pt"/>
              </w:pict>
            </mc:Fallback>
          </mc:AlternateContent>
        </w:r>
      </w:p>
      <w:sdt>
        <w:sdtPr>
          <w:rPr>
            <w:rFonts w:ascii="Arial" w:hAnsi="Arial" w:cs="Arial"/>
            <w:sz w:val="18"/>
            <w:szCs w:val="18"/>
          </w:rPr>
          <w:id w:val="1247832266"/>
          <w:docPartObj>
            <w:docPartGallery w:val="Page Numbers (Top of Page)"/>
            <w:docPartUnique/>
          </w:docPartObj>
        </w:sdtPr>
        <w:sdtEndPr>
          <w:rPr>
            <w:rFonts w:ascii="Times New Roman" w:eastAsia="Times New Roman" w:hAnsi="Times New Roman" w:cs="Times New Roman"/>
            <w:sz w:val="20"/>
            <w:szCs w:val="20"/>
            <w:bdr w:val="nil"/>
          </w:rPr>
        </w:sdtEndPr>
        <w:sdtContent>
          <w:p w:rsidR="003851F5" w:rsidRDefault="003851F5" w:rsidP="003851F5">
            <w:pPr>
              <w:pStyle w:val="Cabealho"/>
              <w:pBdr>
                <w:top w:val="nil"/>
                <w:left w:val="nil"/>
                <w:bottom w:val="nil"/>
                <w:right w:val="nil"/>
                <w:between w:val="nil"/>
                <w:bar w:val="nil"/>
              </w:pBdr>
              <w:ind w:right="282"/>
              <w:jc w:val="right"/>
              <w:rPr>
                <w:rFonts w:ascii="Arial" w:hAnsi="Arial" w:cs="Arial"/>
                <w:sz w:val="18"/>
                <w:szCs w:val="18"/>
                <w:bdr w:val="nil"/>
              </w:rPr>
            </w:pPr>
          </w:p>
          <w:p w:rsidR="006D7F05" w:rsidRDefault="006D7F05" w:rsidP="003851F5">
            <w:pPr>
              <w:pStyle w:val="Cabealho"/>
              <w:pBdr>
                <w:top w:val="nil"/>
                <w:left w:val="nil"/>
                <w:bottom w:val="nil"/>
                <w:right w:val="nil"/>
                <w:between w:val="nil"/>
                <w:bar w:val="nil"/>
              </w:pBdr>
              <w:ind w:right="282"/>
              <w:jc w:val="right"/>
              <w:rPr>
                <w:rFonts w:ascii="Arial" w:hAnsi="Arial" w:cs="Arial"/>
                <w:sz w:val="18"/>
                <w:szCs w:val="18"/>
                <w:bdr w:val="nil"/>
              </w:rPr>
            </w:pPr>
          </w:p>
          <w:p w:rsidR="00B50F59" w:rsidRPr="00790DB0" w:rsidRDefault="00A82039" w:rsidP="003851F5">
            <w:pPr>
              <w:pStyle w:val="Cabealho"/>
              <w:pBdr>
                <w:top w:val="nil"/>
                <w:left w:val="nil"/>
                <w:bottom w:val="nil"/>
                <w:right w:val="nil"/>
                <w:between w:val="nil"/>
                <w:bar w:val="nil"/>
              </w:pBdr>
              <w:ind w:right="282"/>
              <w:jc w:val="right"/>
              <w:rPr>
                <w:bdr w:val="nil"/>
              </w:rPr>
            </w:pPr>
            <w:r w:rsidRPr="00EC5C98">
              <w:rPr>
                <w:rFonts w:ascii="Arial" w:hAnsi="Arial" w:cs="Arial"/>
                <w:sz w:val="18"/>
                <w:szCs w:val="18"/>
                <w:bdr w:val="nil"/>
              </w:rPr>
              <w:fldChar w:fldCharType="begin"/>
            </w:r>
            <w:r w:rsidRPr="00EC5C98">
              <w:rPr>
                <w:rFonts w:ascii="Arial" w:hAnsi="Arial" w:cs="Arial"/>
                <w:sz w:val="18"/>
                <w:szCs w:val="18"/>
                <w:bdr w:val="nil"/>
              </w:rPr>
              <w:instrText>PAGE   \* MERGEFORMAT</w:instrText>
            </w:r>
            <w:r w:rsidRPr="00EC5C98">
              <w:rPr>
                <w:rFonts w:ascii="Arial" w:hAnsi="Arial" w:cs="Arial"/>
                <w:sz w:val="18"/>
                <w:szCs w:val="18"/>
                <w:bdr w:val="nil"/>
              </w:rPr>
              <w:fldChar w:fldCharType="separate"/>
            </w:r>
            <w:r w:rsidR="00163922">
              <w:rPr>
                <w:rFonts w:ascii="Arial" w:hAnsi="Arial" w:cs="Arial"/>
                <w:noProof/>
                <w:sz w:val="18"/>
                <w:szCs w:val="18"/>
                <w:bdr w:val="nil"/>
              </w:rPr>
              <w:t>14</w:t>
            </w:r>
            <w:r w:rsidRPr="00EC5C98">
              <w:rPr>
                <w:rFonts w:ascii="Arial" w:hAnsi="Arial" w:cs="Arial"/>
                <w:sz w:val="18"/>
                <w:szCs w:val="18"/>
                <w:bdr w:val="nil"/>
              </w:rPr>
              <w:fldChar w:fldCharType="end"/>
            </w:r>
          </w:p>
        </w:sdtContent>
      </w:sdt>
    </w:sdtContent>
  </w:sdt>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CE2" w:rsidRDefault="00566CE2">
    <w:pPr>
      <w:pBdr>
        <w:top w:val="nil"/>
        <w:left w:val="nil"/>
        <w:bottom w:val="nil"/>
        <w:right w:val="nil"/>
        <w:between w:val="nil"/>
        <w:bar w:val="nil"/>
      </w:pBdr>
      <w:spacing w:before="0" w:after="0" w:line="240" w:lineRule="auto"/>
      <w:jc w:val="left"/>
      <w:rPr>
        <w:bdr w:val="nil"/>
      </w:rP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150555;"/>
      <w:id w:val="534680588"/>
      <w:lock w:val="sdtLocked"/>
      <w:placeholder>
        <w:docPart w:val="DefaultPlaceholder_22675703"/>
      </w:placeholder>
    </w:sdtPr>
    <w:sdtEndPr>
      <w:rPr>
        <w:rFonts w:ascii="Times New Roman" w:eastAsia="Times New Roman" w:hAnsi="Times New Roman"/>
        <w:sz w:val="20"/>
        <w:szCs w:val="20"/>
        <w:bdr w:val="nil"/>
      </w:rPr>
    </w:sdtEndPr>
    <w:sdtContent>
      <w:p w:rsidR="006D7F05" w:rsidRDefault="00A82039" w:rsidP="003851F5">
        <w:pPr>
          <w:pStyle w:val="Cabealho"/>
          <w:pBdr>
            <w:top w:val="nil"/>
            <w:left w:val="nil"/>
            <w:bottom w:val="nil"/>
            <w:right w:val="nil"/>
            <w:between w:val="nil"/>
            <w:bar w:val="nil"/>
          </w:pBdr>
          <w:ind w:right="282"/>
          <w:jc w:val="right"/>
          <w:rPr>
            <w:rFonts w:ascii="Arial" w:hAnsi="Arial" w:cs="Arial"/>
            <w:sz w:val="18"/>
            <w:szCs w:val="18"/>
            <w:bdr w:val="nil"/>
          </w:rPr>
        </w:pPr>
        <w:r>
          <w:rPr>
            <w:rFonts w:ascii="Arial" w:hAnsi="Arial" w:cs="Arial"/>
            <w:noProof/>
            <w:sz w:val="16"/>
            <w:szCs w:val="16"/>
            <w:bdr w:val="nil"/>
            <w:lang w:eastAsia="pt-BR"/>
          </w:rPr>
          <w:drawing>
            <wp:anchor distT="0" distB="0" distL="114300" distR="114300" simplePos="0" relativeHeight="251748352" behindDoc="0" locked="0" layoutInCell="1" allowOverlap="1">
              <wp:simplePos x="0" y="0"/>
              <wp:positionH relativeFrom="rightMargin">
                <wp:posOffset>-252730</wp:posOffset>
              </wp:positionH>
              <wp:positionV relativeFrom="paragraph">
                <wp:posOffset>-286344</wp:posOffset>
              </wp:positionV>
              <wp:extent cx="720000" cy="860400"/>
              <wp:effectExtent l="0" t="0" r="4445" b="0"/>
              <wp:wrapNone/>
              <wp:docPr id="19700085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349350" name="carimbo assinado duda faust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noProof/>
            <w:bdr w:val="nil"/>
            <w:lang w:eastAsia="pt-BR"/>
          </w:rPr>
          <mc:AlternateContent>
            <mc:Choice Requires="wps">
              <w:drawing>
                <wp:anchor distT="0" distB="0" distL="114300" distR="114300" simplePos="0" relativeHeight="251688960"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1428271789"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FooterPaisagemLinha" o:spid="_x0000_s2099" style="mso-position-horizontal-relative:page;mso-width-percent:0;mso-width-relative:margin;mso-wrap-distance-bottom:0;mso-wrap-distance-left:9pt;mso-wrap-distance-right:9pt;mso-wrap-distance-top:0;position:absolute;v-text-anchor:top;z-index:251687936" from="0,0" to="841.9pt,0" fillcolor="this" stroked="t" strokecolor="#ffd300" strokeweight="5pt"/>
              </w:pict>
            </mc:Fallback>
          </mc:AlternateContent>
        </w:r>
      </w:p>
      <w:sdt>
        <w:sdtPr>
          <w:rPr>
            <w:rFonts w:ascii="Arial" w:hAnsi="Arial" w:cs="Arial"/>
            <w:sz w:val="18"/>
            <w:szCs w:val="18"/>
          </w:rPr>
          <w:id w:val="717393861"/>
          <w:docPartObj>
            <w:docPartGallery w:val="Page Numbers (Top of Page)"/>
            <w:docPartUnique/>
          </w:docPartObj>
        </w:sdtPr>
        <w:sdtEndPr>
          <w:rPr>
            <w:rFonts w:ascii="Times New Roman" w:eastAsia="Times New Roman" w:hAnsi="Times New Roman" w:cs="Times New Roman"/>
            <w:sz w:val="20"/>
            <w:szCs w:val="20"/>
            <w:bdr w:val="nil"/>
          </w:rPr>
        </w:sdtEndPr>
        <w:sdtContent>
          <w:p w:rsidR="003851F5" w:rsidRDefault="003851F5" w:rsidP="003851F5">
            <w:pPr>
              <w:pStyle w:val="Cabealho"/>
              <w:pBdr>
                <w:top w:val="nil"/>
                <w:left w:val="nil"/>
                <w:bottom w:val="nil"/>
                <w:right w:val="nil"/>
                <w:between w:val="nil"/>
                <w:bar w:val="nil"/>
              </w:pBdr>
              <w:ind w:right="282"/>
              <w:jc w:val="right"/>
              <w:rPr>
                <w:rFonts w:ascii="Arial" w:hAnsi="Arial" w:cs="Arial"/>
                <w:sz w:val="18"/>
                <w:szCs w:val="18"/>
                <w:bdr w:val="nil"/>
              </w:rPr>
            </w:pPr>
          </w:p>
          <w:p w:rsidR="006D7F05" w:rsidRDefault="006D7F05" w:rsidP="003851F5">
            <w:pPr>
              <w:pStyle w:val="Cabealho"/>
              <w:pBdr>
                <w:top w:val="nil"/>
                <w:left w:val="nil"/>
                <w:bottom w:val="nil"/>
                <w:right w:val="nil"/>
                <w:between w:val="nil"/>
                <w:bar w:val="nil"/>
              </w:pBdr>
              <w:ind w:right="282"/>
              <w:jc w:val="right"/>
              <w:rPr>
                <w:rFonts w:ascii="Arial" w:hAnsi="Arial" w:cs="Arial"/>
                <w:sz w:val="18"/>
                <w:szCs w:val="18"/>
                <w:bdr w:val="nil"/>
              </w:rPr>
            </w:pPr>
          </w:p>
          <w:p w:rsidR="00B50F59" w:rsidRPr="00790DB0" w:rsidRDefault="00A82039" w:rsidP="003851F5">
            <w:pPr>
              <w:pStyle w:val="Cabealho"/>
              <w:pBdr>
                <w:top w:val="nil"/>
                <w:left w:val="nil"/>
                <w:bottom w:val="nil"/>
                <w:right w:val="nil"/>
                <w:between w:val="nil"/>
                <w:bar w:val="nil"/>
              </w:pBdr>
              <w:ind w:right="282"/>
              <w:jc w:val="right"/>
              <w:rPr>
                <w:bdr w:val="nil"/>
              </w:rPr>
            </w:pPr>
            <w:r w:rsidRPr="00EC5C98">
              <w:rPr>
                <w:rFonts w:ascii="Arial" w:hAnsi="Arial" w:cs="Arial"/>
                <w:sz w:val="18"/>
                <w:szCs w:val="18"/>
                <w:bdr w:val="nil"/>
              </w:rPr>
              <w:fldChar w:fldCharType="begin"/>
            </w:r>
            <w:r w:rsidRPr="00EC5C98">
              <w:rPr>
                <w:rFonts w:ascii="Arial" w:hAnsi="Arial" w:cs="Arial"/>
                <w:sz w:val="18"/>
                <w:szCs w:val="18"/>
                <w:bdr w:val="nil"/>
              </w:rPr>
              <w:instrText>PAGE   \* MERGEFORMAT</w:instrText>
            </w:r>
            <w:r w:rsidRPr="00EC5C98">
              <w:rPr>
                <w:rFonts w:ascii="Arial" w:hAnsi="Arial" w:cs="Arial"/>
                <w:sz w:val="18"/>
                <w:szCs w:val="18"/>
                <w:bdr w:val="nil"/>
              </w:rPr>
              <w:fldChar w:fldCharType="separate"/>
            </w:r>
            <w:r w:rsidRPr="00EC5C98">
              <w:rPr>
                <w:rFonts w:ascii="Arial" w:hAnsi="Arial" w:cs="Arial"/>
                <w:sz w:val="18"/>
                <w:szCs w:val="18"/>
                <w:bdr w:val="nil"/>
              </w:rPr>
              <w:t>1</w:t>
            </w:r>
            <w:r w:rsidRPr="00EC5C98">
              <w:rPr>
                <w:rFonts w:ascii="Arial" w:hAnsi="Arial" w:cs="Arial"/>
                <w:sz w:val="18"/>
                <w:szCs w:val="18"/>
                <w:bdr w:val="nil"/>
              </w:rPr>
              <w:fldChar w:fldCharType="end"/>
            </w:r>
          </w:p>
        </w:sdtContent>
      </w:sdt>
    </w:sdtContent>
  </w:sdt>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150555;"/>
      <w:id w:val="568716927"/>
      <w:lock w:val="sdtLocked"/>
      <w:placeholder>
        <w:docPart w:val="DefaultPlaceholder_22675703"/>
      </w:placeholder>
    </w:sdtPr>
    <w:sdtEndPr>
      <w:rPr>
        <w:rFonts w:ascii="Times New Roman" w:eastAsia="Times New Roman" w:hAnsi="Times New Roman"/>
        <w:sz w:val="20"/>
        <w:szCs w:val="20"/>
        <w:bdr w:val="nil"/>
      </w:rPr>
    </w:sdtEndPr>
    <w:sdtContent>
      <w:p w:rsidR="006D7F05" w:rsidRDefault="00A82039" w:rsidP="003851F5">
        <w:pPr>
          <w:pStyle w:val="Cabealho"/>
          <w:pBdr>
            <w:top w:val="nil"/>
            <w:left w:val="nil"/>
            <w:bottom w:val="nil"/>
            <w:right w:val="nil"/>
            <w:between w:val="nil"/>
            <w:bar w:val="nil"/>
          </w:pBdr>
          <w:ind w:right="282"/>
          <w:jc w:val="right"/>
          <w:rPr>
            <w:rFonts w:ascii="Arial" w:hAnsi="Arial" w:cs="Arial"/>
            <w:sz w:val="18"/>
            <w:szCs w:val="18"/>
            <w:bdr w:val="nil"/>
          </w:rPr>
        </w:pPr>
        <w:r>
          <w:rPr>
            <w:rFonts w:ascii="Arial" w:hAnsi="Arial" w:cs="Arial"/>
            <w:noProof/>
            <w:sz w:val="16"/>
            <w:szCs w:val="16"/>
            <w:bdr w:val="nil"/>
            <w:lang w:eastAsia="pt-BR"/>
          </w:rPr>
          <w:drawing>
            <wp:anchor distT="0" distB="0" distL="114300" distR="114300" simplePos="0" relativeHeight="251747328" behindDoc="0" locked="0" layoutInCell="1" allowOverlap="1">
              <wp:simplePos x="0" y="0"/>
              <wp:positionH relativeFrom="rightMargin">
                <wp:posOffset>-252730</wp:posOffset>
              </wp:positionH>
              <wp:positionV relativeFrom="paragraph">
                <wp:posOffset>-286344</wp:posOffset>
              </wp:positionV>
              <wp:extent cx="720000" cy="860400"/>
              <wp:effectExtent l="0" t="0" r="4445" b="0"/>
              <wp:wrapNone/>
              <wp:docPr id="146137040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740489" name="carimbo assinado duda faust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noProof/>
            <w:bdr w:val="nil"/>
            <w:lang w:eastAsia="pt-BR"/>
          </w:rPr>
          <mc:AlternateContent>
            <mc:Choice Requires="wps">
              <w:drawing>
                <wp:anchor distT="0" distB="0" distL="114300" distR="114300" simplePos="0" relativeHeight="251686912"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689818711"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FooterPaisagemLinha" o:spid="_x0000_s2100" style="mso-position-horizontal-relative:page;mso-width-percent:0;mso-width-relative:margin;mso-wrap-distance-bottom:0;mso-wrap-distance-left:9pt;mso-wrap-distance-right:9pt;mso-wrap-distance-top:0;position:absolute;v-text-anchor:top;z-index:251685888" from="0,0" to="841.9pt,0" fillcolor="this" stroked="t" strokecolor="#ffd300" strokeweight="5pt"/>
              </w:pict>
            </mc:Fallback>
          </mc:AlternateContent>
        </w:r>
      </w:p>
      <w:sdt>
        <w:sdtPr>
          <w:rPr>
            <w:rFonts w:ascii="Arial" w:hAnsi="Arial" w:cs="Arial"/>
            <w:sz w:val="18"/>
            <w:szCs w:val="18"/>
          </w:rPr>
          <w:id w:val="1956901258"/>
          <w:docPartObj>
            <w:docPartGallery w:val="Page Numbers (Top of Page)"/>
            <w:docPartUnique/>
          </w:docPartObj>
        </w:sdtPr>
        <w:sdtEndPr>
          <w:rPr>
            <w:rFonts w:ascii="Times New Roman" w:eastAsia="Times New Roman" w:hAnsi="Times New Roman" w:cs="Times New Roman"/>
            <w:sz w:val="20"/>
            <w:szCs w:val="20"/>
            <w:bdr w:val="nil"/>
          </w:rPr>
        </w:sdtEndPr>
        <w:sdtContent>
          <w:p w:rsidR="003851F5" w:rsidRDefault="003851F5" w:rsidP="003851F5">
            <w:pPr>
              <w:pStyle w:val="Cabealho"/>
              <w:pBdr>
                <w:top w:val="nil"/>
                <w:left w:val="nil"/>
                <w:bottom w:val="nil"/>
                <w:right w:val="nil"/>
                <w:between w:val="nil"/>
                <w:bar w:val="nil"/>
              </w:pBdr>
              <w:ind w:right="282"/>
              <w:jc w:val="right"/>
              <w:rPr>
                <w:rFonts w:ascii="Arial" w:hAnsi="Arial" w:cs="Arial"/>
                <w:sz w:val="18"/>
                <w:szCs w:val="18"/>
                <w:bdr w:val="nil"/>
              </w:rPr>
            </w:pPr>
          </w:p>
          <w:p w:rsidR="006D7F05" w:rsidRDefault="006D7F05" w:rsidP="003851F5">
            <w:pPr>
              <w:pStyle w:val="Cabealho"/>
              <w:pBdr>
                <w:top w:val="nil"/>
                <w:left w:val="nil"/>
                <w:bottom w:val="nil"/>
                <w:right w:val="nil"/>
                <w:between w:val="nil"/>
                <w:bar w:val="nil"/>
              </w:pBdr>
              <w:ind w:right="282"/>
              <w:jc w:val="right"/>
              <w:rPr>
                <w:rFonts w:ascii="Arial" w:hAnsi="Arial" w:cs="Arial"/>
                <w:sz w:val="18"/>
                <w:szCs w:val="18"/>
                <w:bdr w:val="nil"/>
              </w:rPr>
            </w:pPr>
          </w:p>
          <w:p w:rsidR="00B50F59" w:rsidRPr="00790DB0" w:rsidRDefault="00A82039" w:rsidP="003851F5">
            <w:pPr>
              <w:pStyle w:val="Cabealho"/>
              <w:pBdr>
                <w:top w:val="nil"/>
                <w:left w:val="nil"/>
                <w:bottom w:val="nil"/>
                <w:right w:val="nil"/>
                <w:between w:val="nil"/>
                <w:bar w:val="nil"/>
              </w:pBdr>
              <w:ind w:right="282"/>
              <w:jc w:val="right"/>
              <w:rPr>
                <w:bdr w:val="nil"/>
              </w:rPr>
            </w:pPr>
            <w:r w:rsidRPr="00EC5C98">
              <w:rPr>
                <w:rFonts w:ascii="Arial" w:hAnsi="Arial" w:cs="Arial"/>
                <w:sz w:val="18"/>
                <w:szCs w:val="18"/>
                <w:bdr w:val="nil"/>
              </w:rPr>
              <w:fldChar w:fldCharType="begin"/>
            </w:r>
            <w:r w:rsidRPr="00EC5C98">
              <w:rPr>
                <w:rFonts w:ascii="Arial" w:hAnsi="Arial" w:cs="Arial"/>
                <w:sz w:val="18"/>
                <w:szCs w:val="18"/>
                <w:bdr w:val="nil"/>
              </w:rPr>
              <w:instrText>PAGE   \* MERGEFORMAT</w:instrText>
            </w:r>
            <w:r w:rsidRPr="00EC5C98">
              <w:rPr>
                <w:rFonts w:ascii="Arial" w:hAnsi="Arial" w:cs="Arial"/>
                <w:sz w:val="18"/>
                <w:szCs w:val="18"/>
                <w:bdr w:val="nil"/>
              </w:rPr>
              <w:fldChar w:fldCharType="separate"/>
            </w:r>
            <w:r w:rsidR="00163922">
              <w:rPr>
                <w:rFonts w:ascii="Arial" w:hAnsi="Arial" w:cs="Arial"/>
                <w:noProof/>
                <w:sz w:val="18"/>
                <w:szCs w:val="18"/>
                <w:bdr w:val="nil"/>
              </w:rPr>
              <w:t>27</w:t>
            </w:r>
            <w:r w:rsidRPr="00EC5C98">
              <w:rPr>
                <w:rFonts w:ascii="Arial" w:hAnsi="Arial" w:cs="Arial"/>
                <w:sz w:val="18"/>
                <w:szCs w:val="18"/>
                <w:bdr w:val="nil"/>
              </w:rPr>
              <w:fldChar w:fldCharType="end"/>
            </w:r>
          </w:p>
        </w:sdtContent>
      </w:sdt>
    </w:sdtContent>
  </w:sdt>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CE2" w:rsidRDefault="00566CE2">
    <w:pPr>
      <w:pBdr>
        <w:top w:val="nil"/>
        <w:left w:val="nil"/>
        <w:bottom w:val="nil"/>
        <w:right w:val="nil"/>
        <w:between w:val="nil"/>
        <w:bar w:val="nil"/>
      </w:pBdr>
      <w:spacing w:before="0" w:after="0" w:line="240" w:lineRule="auto"/>
      <w:jc w:val="left"/>
      <w:rPr>
        <w:bdr w:val="nil"/>
      </w:rP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150555;"/>
      <w:id w:val="698984404"/>
      <w:lock w:val="sdtLocked"/>
      <w:placeholder>
        <w:docPart w:val="DefaultPlaceholder_22675703"/>
      </w:placeholder>
    </w:sdtPr>
    <w:sdtEndPr>
      <w:rPr>
        <w:rFonts w:ascii="Times New Roman" w:eastAsia="Times New Roman" w:hAnsi="Times New Roman"/>
        <w:sz w:val="20"/>
        <w:szCs w:val="20"/>
        <w:bdr w:val="nil"/>
      </w:rPr>
    </w:sdtEndPr>
    <w:sdtContent>
      <w:p w:rsidR="006D7F05" w:rsidRDefault="00A82039" w:rsidP="003851F5">
        <w:pPr>
          <w:pStyle w:val="Cabealho"/>
          <w:pBdr>
            <w:top w:val="nil"/>
            <w:left w:val="nil"/>
            <w:bottom w:val="nil"/>
            <w:right w:val="nil"/>
            <w:between w:val="nil"/>
            <w:bar w:val="nil"/>
          </w:pBdr>
          <w:ind w:right="282"/>
          <w:jc w:val="right"/>
          <w:rPr>
            <w:rFonts w:ascii="Arial" w:hAnsi="Arial" w:cs="Arial"/>
            <w:sz w:val="18"/>
            <w:szCs w:val="18"/>
            <w:bdr w:val="nil"/>
            <w:lang w:val="en-US"/>
          </w:rPr>
        </w:pPr>
        <w:r>
          <w:rPr>
            <w:rFonts w:ascii="Arial" w:hAnsi="Arial" w:cs="Arial"/>
            <w:noProof/>
            <w:sz w:val="16"/>
            <w:szCs w:val="16"/>
            <w:bdr w:val="nil"/>
            <w:lang w:eastAsia="pt-BR"/>
          </w:rPr>
          <w:drawing>
            <wp:anchor distT="0" distB="0" distL="114300" distR="114300" simplePos="0" relativeHeight="251754496" behindDoc="0" locked="0" layoutInCell="1" allowOverlap="1">
              <wp:simplePos x="0" y="0"/>
              <wp:positionH relativeFrom="rightMargin">
                <wp:posOffset>-252730</wp:posOffset>
              </wp:positionH>
              <wp:positionV relativeFrom="paragraph">
                <wp:posOffset>-286344</wp:posOffset>
              </wp:positionV>
              <wp:extent cx="720000" cy="860400"/>
              <wp:effectExtent l="0" t="0" r="4445" b="0"/>
              <wp:wrapNone/>
              <wp:docPr id="10212082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962051" name="carimbo assinado duda faust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noProof/>
            <w:bdr w:val="nil"/>
            <w:lang w:eastAsia="pt-BR"/>
          </w:rPr>
          <mc:AlternateContent>
            <mc:Choice Requires="wps">
              <w:drawing>
                <wp:anchor distT="0" distB="0" distL="114300" distR="114300" simplePos="0" relativeHeight="251695104"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556091594"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FooterPaisagemLinha" o:spid="_x0000_s2107" style="mso-position-horizontal-relative:page;mso-width-percent:0;mso-width-relative:margin;mso-wrap-distance-bottom:0;mso-wrap-distance-left:9pt;mso-wrap-distance-right:9pt;mso-wrap-distance-top:0;position:absolute;v-text-anchor:top;z-index:251694080" from="0,0" to="841.9pt,0" fillcolor="this" stroked="t" strokecolor="#ffd300" strokeweight="5pt"/>
              </w:pict>
            </mc:Fallback>
          </mc:AlternateContent>
        </w:r>
      </w:p>
      <w:sdt>
        <w:sdtPr>
          <w:rPr>
            <w:rFonts w:ascii="Arial" w:hAnsi="Arial" w:cs="Arial"/>
            <w:sz w:val="18"/>
            <w:szCs w:val="18"/>
          </w:rPr>
          <w:id w:val="668810969"/>
          <w:docPartObj>
            <w:docPartGallery w:val="Page Numbers (Top of Page)"/>
            <w:docPartUnique/>
          </w:docPartObj>
        </w:sdtPr>
        <w:sdtEndPr>
          <w:rPr>
            <w:rFonts w:ascii="Times New Roman" w:eastAsia="Times New Roman" w:hAnsi="Times New Roman" w:cs="Times New Roman"/>
            <w:sz w:val="20"/>
            <w:szCs w:val="20"/>
            <w:bdr w:val="nil"/>
          </w:rPr>
        </w:sdtEndPr>
        <w:sdtContent>
          <w:p w:rsidR="003851F5" w:rsidRDefault="003851F5" w:rsidP="003851F5">
            <w:pPr>
              <w:pStyle w:val="Cabealho"/>
              <w:pBdr>
                <w:top w:val="nil"/>
                <w:left w:val="nil"/>
                <w:bottom w:val="nil"/>
                <w:right w:val="nil"/>
                <w:between w:val="nil"/>
                <w:bar w:val="nil"/>
              </w:pBdr>
              <w:ind w:right="282"/>
              <w:jc w:val="right"/>
              <w:rPr>
                <w:rFonts w:ascii="Arial" w:hAnsi="Arial" w:cs="Arial"/>
                <w:sz w:val="18"/>
                <w:szCs w:val="18"/>
                <w:bdr w:val="nil"/>
                <w:lang w:val="en-US"/>
              </w:rPr>
            </w:pPr>
          </w:p>
          <w:p w:rsidR="006D7F05" w:rsidRDefault="006D7F05" w:rsidP="003851F5">
            <w:pPr>
              <w:pStyle w:val="Cabealho"/>
              <w:pBdr>
                <w:top w:val="nil"/>
                <w:left w:val="nil"/>
                <w:bottom w:val="nil"/>
                <w:right w:val="nil"/>
                <w:between w:val="nil"/>
                <w:bar w:val="nil"/>
              </w:pBdr>
              <w:ind w:right="282"/>
              <w:jc w:val="right"/>
              <w:rPr>
                <w:rFonts w:ascii="Arial" w:hAnsi="Arial" w:cs="Arial"/>
                <w:sz w:val="18"/>
                <w:szCs w:val="18"/>
                <w:bdr w:val="nil"/>
                <w:lang w:val="en-US"/>
              </w:rPr>
            </w:pPr>
          </w:p>
          <w:p w:rsidR="00B50F59" w:rsidRPr="00790DB0" w:rsidRDefault="00A82039" w:rsidP="003851F5">
            <w:pPr>
              <w:pStyle w:val="Cabealho"/>
              <w:pBdr>
                <w:top w:val="nil"/>
                <w:left w:val="nil"/>
                <w:bottom w:val="nil"/>
                <w:right w:val="nil"/>
                <w:between w:val="nil"/>
                <w:bar w:val="nil"/>
              </w:pBdr>
              <w:ind w:right="282"/>
              <w:jc w:val="right"/>
              <w:rPr>
                <w:bdr w:val="nil"/>
                <w:lang w:val="en-US"/>
              </w:rPr>
            </w:pPr>
            <w:r w:rsidRPr="00EC5C98">
              <w:rPr>
                <w:rFonts w:ascii="Arial" w:hAnsi="Arial" w:cs="Arial"/>
                <w:sz w:val="18"/>
                <w:szCs w:val="18"/>
                <w:bdr w:val="nil"/>
              </w:rPr>
              <w:fldChar w:fldCharType="begin"/>
            </w:r>
            <w:r w:rsidRPr="00EC5C98">
              <w:rPr>
                <w:rFonts w:ascii="Arial" w:hAnsi="Arial" w:cs="Arial"/>
                <w:sz w:val="18"/>
                <w:szCs w:val="18"/>
                <w:bdr w:val="nil"/>
              </w:rPr>
              <w:instrText>PAGE   \* MERGEFORMAT</w:instrText>
            </w:r>
            <w:r w:rsidRPr="00EC5C98">
              <w:rPr>
                <w:rFonts w:ascii="Arial" w:hAnsi="Arial" w:cs="Arial"/>
                <w:sz w:val="18"/>
                <w:szCs w:val="18"/>
                <w:bdr w:val="nil"/>
              </w:rPr>
              <w:fldChar w:fldCharType="separate"/>
            </w:r>
            <w:r w:rsidRPr="00EC5C98">
              <w:rPr>
                <w:rFonts w:ascii="Arial" w:hAnsi="Arial" w:cs="Arial"/>
                <w:sz w:val="18"/>
                <w:szCs w:val="18"/>
                <w:bdr w:val="nil"/>
              </w:rPr>
              <w:t>1</w:t>
            </w:r>
            <w:r w:rsidRPr="00EC5C98">
              <w:rPr>
                <w:rFonts w:ascii="Arial" w:hAnsi="Arial" w:cs="Arial"/>
                <w:sz w:val="18"/>
                <w:szCs w:val="18"/>
                <w:bdr w:val="nil"/>
              </w:rPr>
              <w:fldChar w:fldCharType="end"/>
            </w:r>
          </w:p>
        </w:sdtContent>
      </w:sdt>
    </w:sdtContent>
  </w:sdt>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150555;"/>
      <w:id w:val="331395366"/>
      <w:lock w:val="sdtLocked"/>
      <w:placeholder>
        <w:docPart w:val="DefaultPlaceholder_22675703"/>
      </w:placeholder>
    </w:sdtPr>
    <w:sdtEndPr>
      <w:rPr>
        <w:rFonts w:ascii="Times New Roman" w:eastAsia="Times New Roman" w:hAnsi="Times New Roman"/>
        <w:sz w:val="20"/>
        <w:szCs w:val="20"/>
        <w:bdr w:val="nil"/>
      </w:rPr>
    </w:sdtEndPr>
    <w:sdtContent>
      <w:p w:rsidR="006D7F05" w:rsidRDefault="00A82039" w:rsidP="003851F5">
        <w:pPr>
          <w:pStyle w:val="Cabealho"/>
          <w:pBdr>
            <w:top w:val="nil"/>
            <w:left w:val="nil"/>
            <w:bottom w:val="nil"/>
            <w:right w:val="nil"/>
            <w:between w:val="nil"/>
            <w:bar w:val="nil"/>
          </w:pBdr>
          <w:ind w:right="282"/>
          <w:jc w:val="right"/>
          <w:rPr>
            <w:rFonts w:ascii="Arial" w:hAnsi="Arial" w:cs="Arial"/>
            <w:sz w:val="18"/>
            <w:szCs w:val="18"/>
            <w:bdr w:val="nil"/>
            <w:lang w:val="en-US"/>
          </w:rPr>
        </w:pPr>
        <w:r>
          <w:rPr>
            <w:rFonts w:ascii="Arial" w:hAnsi="Arial" w:cs="Arial"/>
            <w:noProof/>
            <w:sz w:val="16"/>
            <w:szCs w:val="16"/>
            <w:bdr w:val="nil"/>
            <w:lang w:eastAsia="pt-BR"/>
          </w:rPr>
          <w:drawing>
            <wp:anchor distT="0" distB="0" distL="114300" distR="114300" simplePos="0" relativeHeight="251753472" behindDoc="0" locked="0" layoutInCell="1" allowOverlap="1">
              <wp:simplePos x="0" y="0"/>
              <wp:positionH relativeFrom="rightMargin">
                <wp:posOffset>-252730</wp:posOffset>
              </wp:positionH>
              <wp:positionV relativeFrom="paragraph">
                <wp:posOffset>-286344</wp:posOffset>
              </wp:positionV>
              <wp:extent cx="720000" cy="860400"/>
              <wp:effectExtent l="0" t="0" r="4445" b="0"/>
              <wp:wrapNone/>
              <wp:docPr id="159696263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200183" name="carimbo assinado duda faust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noProof/>
            <w:bdr w:val="nil"/>
            <w:lang w:eastAsia="pt-BR"/>
          </w:rPr>
          <mc:AlternateContent>
            <mc:Choice Requires="wps">
              <w:drawing>
                <wp:anchor distT="0" distB="0" distL="114300" distR="114300" simplePos="0" relativeHeight="251693056"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391892410"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FooterPaisagemLinha" o:spid="_x0000_s2108" style="mso-position-horizontal-relative:page;mso-width-percent:0;mso-width-relative:margin;mso-wrap-distance-bottom:0;mso-wrap-distance-left:9pt;mso-wrap-distance-right:9pt;mso-wrap-distance-top:0;position:absolute;v-text-anchor:top;z-index:251692032" from="0,0" to="841.9pt,0" fillcolor="this" stroked="t" strokecolor="#ffd300" strokeweight="5pt"/>
              </w:pict>
            </mc:Fallback>
          </mc:AlternateContent>
        </w:r>
      </w:p>
      <w:sdt>
        <w:sdtPr>
          <w:rPr>
            <w:rFonts w:ascii="Arial" w:hAnsi="Arial" w:cs="Arial"/>
            <w:sz w:val="18"/>
            <w:szCs w:val="18"/>
          </w:rPr>
          <w:id w:val="1485848577"/>
          <w:docPartObj>
            <w:docPartGallery w:val="Page Numbers (Top of Page)"/>
            <w:docPartUnique/>
          </w:docPartObj>
        </w:sdtPr>
        <w:sdtEndPr>
          <w:rPr>
            <w:rFonts w:ascii="Times New Roman" w:eastAsia="Times New Roman" w:hAnsi="Times New Roman" w:cs="Times New Roman"/>
            <w:sz w:val="20"/>
            <w:szCs w:val="20"/>
            <w:bdr w:val="nil"/>
          </w:rPr>
        </w:sdtEndPr>
        <w:sdtContent>
          <w:p w:rsidR="003851F5" w:rsidRDefault="003851F5" w:rsidP="003851F5">
            <w:pPr>
              <w:pStyle w:val="Cabealho"/>
              <w:pBdr>
                <w:top w:val="nil"/>
                <w:left w:val="nil"/>
                <w:bottom w:val="nil"/>
                <w:right w:val="nil"/>
                <w:between w:val="nil"/>
                <w:bar w:val="nil"/>
              </w:pBdr>
              <w:ind w:right="282"/>
              <w:jc w:val="right"/>
              <w:rPr>
                <w:rFonts w:ascii="Arial" w:hAnsi="Arial" w:cs="Arial"/>
                <w:sz w:val="18"/>
                <w:szCs w:val="18"/>
                <w:bdr w:val="nil"/>
                <w:lang w:val="en-US"/>
              </w:rPr>
            </w:pPr>
          </w:p>
          <w:p w:rsidR="006D7F05" w:rsidRDefault="006D7F05" w:rsidP="003851F5">
            <w:pPr>
              <w:pStyle w:val="Cabealho"/>
              <w:pBdr>
                <w:top w:val="nil"/>
                <w:left w:val="nil"/>
                <w:bottom w:val="nil"/>
                <w:right w:val="nil"/>
                <w:between w:val="nil"/>
                <w:bar w:val="nil"/>
              </w:pBdr>
              <w:ind w:right="282"/>
              <w:jc w:val="right"/>
              <w:rPr>
                <w:rFonts w:ascii="Arial" w:hAnsi="Arial" w:cs="Arial"/>
                <w:sz w:val="18"/>
                <w:szCs w:val="18"/>
                <w:bdr w:val="nil"/>
                <w:lang w:val="en-US"/>
              </w:rPr>
            </w:pPr>
          </w:p>
          <w:p w:rsidR="00B50F59" w:rsidRPr="00790DB0" w:rsidRDefault="00A82039" w:rsidP="003851F5">
            <w:pPr>
              <w:pStyle w:val="Cabealho"/>
              <w:pBdr>
                <w:top w:val="nil"/>
                <w:left w:val="nil"/>
                <w:bottom w:val="nil"/>
                <w:right w:val="nil"/>
                <w:between w:val="nil"/>
                <w:bar w:val="nil"/>
              </w:pBdr>
              <w:ind w:right="282"/>
              <w:jc w:val="right"/>
              <w:rPr>
                <w:bdr w:val="nil"/>
                <w:lang w:val="en-US"/>
              </w:rPr>
            </w:pPr>
            <w:r w:rsidRPr="00EC5C98">
              <w:rPr>
                <w:rFonts w:ascii="Arial" w:hAnsi="Arial" w:cs="Arial"/>
                <w:sz w:val="18"/>
                <w:szCs w:val="18"/>
                <w:bdr w:val="nil"/>
              </w:rPr>
              <w:fldChar w:fldCharType="begin"/>
            </w:r>
            <w:r w:rsidRPr="00EC5C98">
              <w:rPr>
                <w:rFonts w:ascii="Arial" w:hAnsi="Arial" w:cs="Arial"/>
                <w:sz w:val="18"/>
                <w:szCs w:val="18"/>
                <w:bdr w:val="nil"/>
              </w:rPr>
              <w:instrText>PAGE   \* MERGEFORMAT</w:instrText>
            </w:r>
            <w:r w:rsidRPr="00EC5C98">
              <w:rPr>
                <w:rFonts w:ascii="Arial" w:hAnsi="Arial" w:cs="Arial"/>
                <w:sz w:val="18"/>
                <w:szCs w:val="18"/>
                <w:bdr w:val="nil"/>
              </w:rPr>
              <w:fldChar w:fldCharType="separate"/>
            </w:r>
            <w:r w:rsidR="00163922">
              <w:rPr>
                <w:rFonts w:ascii="Arial" w:hAnsi="Arial" w:cs="Arial"/>
                <w:noProof/>
                <w:sz w:val="18"/>
                <w:szCs w:val="18"/>
                <w:bdr w:val="nil"/>
              </w:rPr>
              <w:t>32</w:t>
            </w:r>
            <w:r w:rsidRPr="00EC5C98">
              <w:rPr>
                <w:rFonts w:ascii="Arial" w:hAnsi="Arial" w:cs="Arial"/>
                <w:sz w:val="18"/>
                <w:szCs w:val="18"/>
                <w:bdr w:val="nil"/>
              </w:rPr>
              <w:fldChar w:fldCharType="end"/>
            </w:r>
          </w:p>
        </w:sdtContent>
      </w:sdt>
    </w:sdtContent>
  </w:sdt>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CE2" w:rsidRDefault="00566CE2">
    <w:pPr>
      <w:pBdr>
        <w:top w:val="nil"/>
        <w:left w:val="nil"/>
        <w:bottom w:val="nil"/>
        <w:right w:val="nil"/>
        <w:between w:val="nil"/>
        <w:bar w:val="nil"/>
      </w:pBdr>
      <w:spacing w:before="0" w:after="200"/>
      <w:jc w:val="left"/>
      <w:rPr>
        <w:rFonts w:ascii="Calibri" w:eastAsia="Calibri" w:hAnsi="Calibri" w:cs="Arial"/>
        <w:sz w:val="22"/>
        <w:szCs w:val="22"/>
        <w:bdr w:val="nil"/>
        <w:lang w:val="en-US" w:eastAsia="en-US"/>
      </w:rP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150555;"/>
      <w:id w:val="1929657081"/>
      <w:lock w:val="sdtLocked"/>
      <w:placeholder>
        <w:docPart w:val="DefaultPlaceholder_22675703"/>
      </w:placeholder>
    </w:sdtPr>
    <w:sdtEndPr>
      <w:rPr>
        <w:rFonts w:ascii="Times New Roman" w:eastAsia="Times New Roman" w:hAnsi="Times New Roman"/>
        <w:sz w:val="20"/>
        <w:szCs w:val="20"/>
        <w:bdr w:val="nil"/>
      </w:rPr>
    </w:sdtEndPr>
    <w:sdtContent>
      <w:p w:rsidR="006D7F05" w:rsidRDefault="00A82039" w:rsidP="003851F5">
        <w:pPr>
          <w:pStyle w:val="Cabealho"/>
          <w:pBdr>
            <w:top w:val="nil"/>
            <w:left w:val="nil"/>
            <w:bottom w:val="nil"/>
            <w:right w:val="nil"/>
            <w:between w:val="nil"/>
            <w:bar w:val="nil"/>
          </w:pBdr>
          <w:ind w:right="282"/>
          <w:jc w:val="right"/>
          <w:rPr>
            <w:rFonts w:ascii="Arial" w:hAnsi="Arial" w:cs="Arial"/>
            <w:sz w:val="18"/>
            <w:szCs w:val="18"/>
            <w:bdr w:val="nil"/>
          </w:rPr>
        </w:pPr>
        <w:r>
          <w:rPr>
            <w:rFonts w:ascii="Arial" w:hAnsi="Arial" w:cs="Arial"/>
            <w:noProof/>
            <w:sz w:val="16"/>
            <w:szCs w:val="16"/>
            <w:bdr w:val="nil"/>
            <w:lang w:eastAsia="pt-BR"/>
          </w:rPr>
          <w:drawing>
            <wp:anchor distT="0" distB="0" distL="114300" distR="114300" simplePos="0" relativeHeight="251760640" behindDoc="0" locked="0" layoutInCell="1" allowOverlap="1">
              <wp:simplePos x="0" y="0"/>
              <wp:positionH relativeFrom="rightMargin">
                <wp:posOffset>-252730</wp:posOffset>
              </wp:positionH>
              <wp:positionV relativeFrom="paragraph">
                <wp:posOffset>-286344</wp:posOffset>
              </wp:positionV>
              <wp:extent cx="720000" cy="860400"/>
              <wp:effectExtent l="0" t="0" r="4445" b="0"/>
              <wp:wrapNone/>
              <wp:docPr id="172509753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389743" name="carimbo assinado duda faust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noProof/>
            <w:bdr w:val="nil"/>
            <w:lang w:eastAsia="pt-BR"/>
          </w:rPr>
          <mc:AlternateContent>
            <mc:Choice Requires="wps">
              <w:drawing>
                <wp:anchor distT="0" distB="0" distL="114300" distR="114300" simplePos="0" relativeHeight="251701248"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760526512"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FooterPaisagemLinha" o:spid="_x0000_s2115" style="mso-position-horizontal-relative:page;mso-width-percent:0;mso-width-relative:margin;mso-wrap-distance-bottom:0;mso-wrap-distance-left:9pt;mso-wrap-distance-right:9pt;mso-wrap-distance-top:0;position:absolute;v-text-anchor:top;z-index:251700224" from="0,0" to="841.9pt,0" fillcolor="this" stroked="t" strokecolor="#ffd300" strokeweight="5pt"/>
              </w:pict>
            </mc:Fallback>
          </mc:AlternateContent>
        </w:r>
      </w:p>
      <w:sdt>
        <w:sdtPr>
          <w:rPr>
            <w:rFonts w:ascii="Arial" w:hAnsi="Arial" w:cs="Arial"/>
            <w:sz w:val="18"/>
            <w:szCs w:val="18"/>
          </w:rPr>
          <w:id w:val="264333773"/>
          <w:docPartObj>
            <w:docPartGallery w:val="Page Numbers (Top of Page)"/>
            <w:docPartUnique/>
          </w:docPartObj>
        </w:sdtPr>
        <w:sdtEndPr>
          <w:rPr>
            <w:rFonts w:ascii="Times New Roman" w:eastAsia="Times New Roman" w:hAnsi="Times New Roman" w:cs="Times New Roman"/>
            <w:sz w:val="20"/>
            <w:szCs w:val="20"/>
            <w:bdr w:val="nil"/>
          </w:rPr>
        </w:sdtEndPr>
        <w:sdtContent>
          <w:p w:rsidR="003851F5" w:rsidRDefault="003851F5" w:rsidP="003851F5">
            <w:pPr>
              <w:pStyle w:val="Cabealho"/>
              <w:pBdr>
                <w:top w:val="nil"/>
                <w:left w:val="nil"/>
                <w:bottom w:val="nil"/>
                <w:right w:val="nil"/>
                <w:between w:val="nil"/>
                <w:bar w:val="nil"/>
              </w:pBdr>
              <w:ind w:right="282"/>
              <w:jc w:val="right"/>
              <w:rPr>
                <w:rFonts w:ascii="Arial" w:hAnsi="Arial" w:cs="Arial"/>
                <w:sz w:val="18"/>
                <w:szCs w:val="18"/>
                <w:bdr w:val="nil"/>
              </w:rPr>
            </w:pPr>
          </w:p>
          <w:p w:rsidR="006D7F05" w:rsidRDefault="006D7F05" w:rsidP="003851F5">
            <w:pPr>
              <w:pStyle w:val="Cabealho"/>
              <w:pBdr>
                <w:top w:val="nil"/>
                <w:left w:val="nil"/>
                <w:bottom w:val="nil"/>
                <w:right w:val="nil"/>
                <w:between w:val="nil"/>
                <w:bar w:val="nil"/>
              </w:pBdr>
              <w:ind w:right="282"/>
              <w:jc w:val="right"/>
              <w:rPr>
                <w:rFonts w:ascii="Arial" w:hAnsi="Arial" w:cs="Arial"/>
                <w:sz w:val="18"/>
                <w:szCs w:val="18"/>
                <w:bdr w:val="nil"/>
              </w:rPr>
            </w:pPr>
          </w:p>
          <w:p w:rsidR="00B50F59" w:rsidRPr="00790DB0" w:rsidRDefault="00A82039" w:rsidP="003851F5">
            <w:pPr>
              <w:pStyle w:val="Cabealho"/>
              <w:pBdr>
                <w:top w:val="nil"/>
                <w:left w:val="nil"/>
                <w:bottom w:val="nil"/>
                <w:right w:val="nil"/>
                <w:between w:val="nil"/>
                <w:bar w:val="nil"/>
              </w:pBdr>
              <w:ind w:right="282"/>
              <w:jc w:val="right"/>
              <w:rPr>
                <w:bdr w:val="nil"/>
              </w:rPr>
            </w:pPr>
            <w:r w:rsidRPr="00EC5C98">
              <w:rPr>
                <w:rFonts w:ascii="Arial" w:hAnsi="Arial" w:cs="Arial"/>
                <w:sz w:val="18"/>
                <w:szCs w:val="18"/>
                <w:bdr w:val="nil"/>
              </w:rPr>
              <w:fldChar w:fldCharType="begin"/>
            </w:r>
            <w:r w:rsidRPr="00EC5C98">
              <w:rPr>
                <w:rFonts w:ascii="Arial" w:hAnsi="Arial" w:cs="Arial"/>
                <w:sz w:val="18"/>
                <w:szCs w:val="18"/>
                <w:bdr w:val="nil"/>
              </w:rPr>
              <w:instrText>PAGE   \* MERGEFORMAT</w:instrText>
            </w:r>
            <w:r w:rsidRPr="00EC5C98">
              <w:rPr>
                <w:rFonts w:ascii="Arial" w:hAnsi="Arial" w:cs="Arial"/>
                <w:sz w:val="18"/>
                <w:szCs w:val="18"/>
                <w:bdr w:val="nil"/>
              </w:rPr>
              <w:fldChar w:fldCharType="separate"/>
            </w:r>
            <w:r w:rsidRPr="00EC5C98">
              <w:rPr>
                <w:rFonts w:ascii="Arial" w:hAnsi="Arial" w:cs="Arial"/>
                <w:sz w:val="18"/>
                <w:szCs w:val="18"/>
                <w:bdr w:val="nil"/>
              </w:rPr>
              <w:t>1</w:t>
            </w:r>
            <w:r w:rsidRPr="00EC5C98">
              <w:rPr>
                <w:rFonts w:ascii="Arial" w:hAnsi="Arial" w:cs="Arial"/>
                <w:sz w:val="18"/>
                <w:szCs w:val="18"/>
                <w:bdr w:val="nil"/>
              </w:rPr>
              <w:fldChar w:fldCharType="end"/>
            </w:r>
          </w:p>
        </w:sdtContent>
      </w:sdt>
    </w:sdtContent>
  </w:sdt>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150555;"/>
      <w:id w:val="102864170"/>
      <w:lock w:val="sdtLocked"/>
      <w:placeholder>
        <w:docPart w:val="DefaultPlaceholder_22675703"/>
      </w:placeholder>
    </w:sdtPr>
    <w:sdtEndPr>
      <w:rPr>
        <w:rFonts w:ascii="Times New Roman" w:eastAsia="Times New Roman" w:hAnsi="Times New Roman"/>
        <w:sz w:val="20"/>
        <w:szCs w:val="20"/>
        <w:bdr w:val="nil"/>
      </w:rPr>
    </w:sdtEndPr>
    <w:sdtContent>
      <w:p w:rsidR="006D7F05" w:rsidRDefault="00A82039" w:rsidP="003851F5">
        <w:pPr>
          <w:pStyle w:val="Cabealho"/>
          <w:pBdr>
            <w:top w:val="nil"/>
            <w:left w:val="nil"/>
            <w:bottom w:val="nil"/>
            <w:right w:val="nil"/>
            <w:between w:val="nil"/>
            <w:bar w:val="nil"/>
          </w:pBdr>
          <w:ind w:right="282"/>
          <w:jc w:val="right"/>
          <w:rPr>
            <w:rFonts w:ascii="Arial" w:hAnsi="Arial" w:cs="Arial"/>
            <w:sz w:val="18"/>
            <w:szCs w:val="18"/>
            <w:bdr w:val="nil"/>
          </w:rPr>
        </w:pPr>
        <w:r>
          <w:rPr>
            <w:rFonts w:ascii="Arial" w:hAnsi="Arial" w:cs="Arial"/>
            <w:noProof/>
            <w:sz w:val="16"/>
            <w:szCs w:val="16"/>
            <w:bdr w:val="nil"/>
            <w:lang w:eastAsia="pt-BR"/>
          </w:rPr>
          <w:drawing>
            <wp:anchor distT="0" distB="0" distL="114300" distR="114300" simplePos="0" relativeHeight="251759616" behindDoc="0" locked="0" layoutInCell="1" allowOverlap="1">
              <wp:simplePos x="0" y="0"/>
              <wp:positionH relativeFrom="rightMargin">
                <wp:posOffset>-252730</wp:posOffset>
              </wp:positionH>
              <wp:positionV relativeFrom="paragraph">
                <wp:posOffset>-286344</wp:posOffset>
              </wp:positionV>
              <wp:extent cx="720000" cy="860400"/>
              <wp:effectExtent l="0" t="0" r="4445" b="0"/>
              <wp:wrapNone/>
              <wp:docPr id="136509771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120701" name="carimbo assinado duda faust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860400"/>
                      </a:xfrm>
                      <a:prstGeom prst="rect">
                        <a:avLst/>
                      </a:prstGeom>
                    </pic:spPr>
                  </pic:pic>
                </a:graphicData>
              </a:graphic>
              <wp14:sizeRelH relativeFrom="margin">
                <wp14:pctWidth>0</wp14:pctWidth>
              </wp14:sizeRelH>
              <wp14:sizeRelV relativeFrom="margin">
                <wp14:pctHeight>0</wp14:pctHeight>
              </wp14:sizeRelV>
            </wp:anchor>
          </w:drawing>
        </w:r>
        <w:r>
          <w:rPr>
            <w:noProof/>
            <w:bdr w:val="nil"/>
            <w:lang w:eastAsia="pt-BR"/>
          </w:rPr>
          <mc:AlternateContent>
            <mc:Choice Requires="wps">
              <w:drawing>
                <wp:anchor distT="0" distB="0" distL="114300" distR="114300" simplePos="0" relativeHeight="251699200" behindDoc="0" locked="0" layoutInCell="1" allowOverlap="1">
                  <wp:simplePos x="0" y="0"/>
                  <wp:positionH relativeFrom="page">
                    <wp:posOffset>0</wp:posOffset>
                  </wp:positionH>
                  <wp:positionV relativeFrom="paragraph">
                    <wp:posOffset>0</wp:posOffset>
                  </wp:positionV>
                  <wp:extent cx="10692000" cy="0"/>
                  <wp:effectExtent l="0" t="19050" r="52705" b="38100"/>
                  <wp:wrapNone/>
                  <wp:docPr id="193015607"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FooterPaisagemLinha" o:spid="_x0000_s2116" style="mso-position-horizontal-relative:page;mso-width-percent:0;mso-width-relative:margin;mso-wrap-distance-bottom:0;mso-wrap-distance-left:9pt;mso-wrap-distance-right:9pt;mso-wrap-distance-top:0;position:absolute;v-text-anchor:top;z-index:251698176" from="0,0" to="841.9pt,0" fillcolor="this" stroked="t" strokecolor="#ffd300" strokeweight="5pt"/>
              </w:pict>
            </mc:Fallback>
          </mc:AlternateContent>
        </w:r>
      </w:p>
      <w:sdt>
        <w:sdtPr>
          <w:rPr>
            <w:rFonts w:ascii="Arial" w:hAnsi="Arial" w:cs="Arial"/>
            <w:sz w:val="18"/>
            <w:szCs w:val="18"/>
          </w:rPr>
          <w:id w:val="1525408028"/>
          <w:docPartObj>
            <w:docPartGallery w:val="Page Numbers (Top of Page)"/>
            <w:docPartUnique/>
          </w:docPartObj>
        </w:sdtPr>
        <w:sdtEndPr>
          <w:rPr>
            <w:rFonts w:ascii="Times New Roman" w:eastAsia="Times New Roman" w:hAnsi="Times New Roman" w:cs="Times New Roman"/>
            <w:sz w:val="20"/>
            <w:szCs w:val="20"/>
            <w:bdr w:val="nil"/>
          </w:rPr>
        </w:sdtEndPr>
        <w:sdtContent>
          <w:p w:rsidR="003851F5" w:rsidRDefault="003851F5" w:rsidP="003851F5">
            <w:pPr>
              <w:pStyle w:val="Cabealho"/>
              <w:pBdr>
                <w:top w:val="nil"/>
                <w:left w:val="nil"/>
                <w:bottom w:val="nil"/>
                <w:right w:val="nil"/>
                <w:between w:val="nil"/>
                <w:bar w:val="nil"/>
              </w:pBdr>
              <w:ind w:right="282"/>
              <w:jc w:val="right"/>
              <w:rPr>
                <w:rFonts w:ascii="Arial" w:hAnsi="Arial" w:cs="Arial"/>
                <w:sz w:val="18"/>
                <w:szCs w:val="18"/>
                <w:bdr w:val="nil"/>
              </w:rPr>
            </w:pPr>
          </w:p>
          <w:p w:rsidR="006D7F05" w:rsidRDefault="006D7F05" w:rsidP="003851F5">
            <w:pPr>
              <w:pStyle w:val="Cabealho"/>
              <w:pBdr>
                <w:top w:val="nil"/>
                <w:left w:val="nil"/>
                <w:bottom w:val="nil"/>
                <w:right w:val="nil"/>
                <w:between w:val="nil"/>
                <w:bar w:val="nil"/>
              </w:pBdr>
              <w:ind w:right="282"/>
              <w:jc w:val="right"/>
              <w:rPr>
                <w:rFonts w:ascii="Arial" w:hAnsi="Arial" w:cs="Arial"/>
                <w:sz w:val="18"/>
                <w:szCs w:val="18"/>
                <w:bdr w:val="nil"/>
              </w:rPr>
            </w:pPr>
          </w:p>
          <w:p w:rsidR="00B50F59" w:rsidRPr="00790DB0" w:rsidRDefault="00A82039" w:rsidP="003851F5">
            <w:pPr>
              <w:pStyle w:val="Cabealho"/>
              <w:pBdr>
                <w:top w:val="nil"/>
                <w:left w:val="nil"/>
                <w:bottom w:val="nil"/>
                <w:right w:val="nil"/>
                <w:between w:val="nil"/>
                <w:bar w:val="nil"/>
              </w:pBdr>
              <w:ind w:right="282"/>
              <w:jc w:val="right"/>
              <w:rPr>
                <w:bdr w:val="nil"/>
              </w:rPr>
            </w:pPr>
            <w:r w:rsidRPr="00EC5C98">
              <w:rPr>
                <w:rFonts w:ascii="Arial" w:hAnsi="Arial" w:cs="Arial"/>
                <w:sz w:val="18"/>
                <w:szCs w:val="18"/>
                <w:bdr w:val="nil"/>
              </w:rPr>
              <w:fldChar w:fldCharType="begin"/>
            </w:r>
            <w:r w:rsidRPr="00EC5C98">
              <w:rPr>
                <w:rFonts w:ascii="Arial" w:hAnsi="Arial" w:cs="Arial"/>
                <w:sz w:val="18"/>
                <w:szCs w:val="18"/>
                <w:bdr w:val="nil"/>
              </w:rPr>
              <w:instrText>PAGE   \* MERGEFORMAT</w:instrText>
            </w:r>
            <w:r w:rsidRPr="00EC5C98">
              <w:rPr>
                <w:rFonts w:ascii="Arial" w:hAnsi="Arial" w:cs="Arial"/>
                <w:sz w:val="18"/>
                <w:szCs w:val="18"/>
                <w:bdr w:val="nil"/>
              </w:rPr>
              <w:fldChar w:fldCharType="separate"/>
            </w:r>
            <w:r w:rsidR="00163922">
              <w:rPr>
                <w:rFonts w:ascii="Arial" w:hAnsi="Arial" w:cs="Arial"/>
                <w:noProof/>
                <w:sz w:val="18"/>
                <w:szCs w:val="18"/>
                <w:bdr w:val="nil"/>
              </w:rPr>
              <w:t>33</w:t>
            </w:r>
            <w:r w:rsidRPr="00EC5C98">
              <w:rPr>
                <w:rFonts w:ascii="Arial" w:hAnsi="Arial" w:cs="Arial"/>
                <w:sz w:val="18"/>
                <w:szCs w:val="18"/>
                <w:bdr w:val="nil"/>
              </w:rPr>
              <w:fldChar w:fldCharType="end"/>
            </w:r>
          </w:p>
        </w:sdtContent>
      </w:sdt>
    </w:sdtContent>
  </w:sdt>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CE2" w:rsidRDefault="00566CE2">
    <w:pPr>
      <w:pBdr>
        <w:top w:val="nil"/>
        <w:left w:val="nil"/>
        <w:bottom w:val="nil"/>
        <w:right w:val="nil"/>
        <w:between w:val="nil"/>
        <w:bar w:val="nil"/>
      </w:pBdr>
      <w:spacing w:before="0" w:after="200"/>
      <w:jc w:val="left"/>
      <w:rPr>
        <w:bdr w:val="nil"/>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050F" w:rsidRDefault="00A82039">
      <w:pPr>
        <w:spacing w:before="0" w:after="0" w:line="240" w:lineRule="auto"/>
      </w:pPr>
      <w:r>
        <w:separator/>
      </w:r>
    </w:p>
  </w:footnote>
  <w:footnote w:type="continuationSeparator" w:id="0">
    <w:p w:rsidR="00FF050F" w:rsidRDefault="00A82039">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57" w:rsidRPr="00FF7457" w:rsidRDefault="00FF7457" w:rsidP="000277E6">
    <w:pPr>
      <w:pBdr>
        <w:top w:val="nil"/>
        <w:left w:val="nil"/>
        <w:bottom w:val="nil"/>
        <w:right w:val="nil"/>
        <w:between w:val="nil"/>
        <w:bar w:val="nil"/>
      </w:pBdr>
      <w:tabs>
        <w:tab w:val="left" w:pos="708"/>
        <w:tab w:val="center" w:pos="4680"/>
        <w:tab w:val="right" w:pos="9360"/>
      </w:tabs>
      <w:spacing w:after="0" w:line="240" w:lineRule="auto"/>
      <w:jc w:val="right"/>
      <w:rPr>
        <w:rFonts w:eastAsia="Calibri" w:cs="Arial"/>
        <w:b/>
        <w:color w:val="0054A1"/>
        <w:sz w:val="13"/>
        <w:szCs w:val="13"/>
        <w:bdr w:val="nil"/>
        <w:lang w:val="en-US" w:eastAsia="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457" w:rsidRPr="00FF7457" w:rsidRDefault="00CF7952" w:rsidP="000277E6">
    <w:pPr>
      <w:pBdr>
        <w:top w:val="nil"/>
        <w:left w:val="nil"/>
        <w:bottom w:val="nil"/>
        <w:right w:val="nil"/>
        <w:between w:val="nil"/>
        <w:bar w:val="nil"/>
      </w:pBdr>
      <w:tabs>
        <w:tab w:val="left" w:pos="708"/>
        <w:tab w:val="center" w:pos="4680"/>
        <w:tab w:val="right" w:pos="9360"/>
      </w:tabs>
      <w:spacing w:after="0" w:line="240" w:lineRule="auto"/>
      <w:jc w:val="right"/>
      <w:rPr>
        <w:rFonts w:eastAsia="Calibri" w:cs="Arial"/>
        <w:b/>
        <w:color w:val="0054A1"/>
        <w:sz w:val="13"/>
        <w:szCs w:val="13"/>
        <w:bdr w:val="nil"/>
        <w:lang w:val="en-US" w:eastAsia="en-US"/>
      </w:rPr>
    </w:pPr>
    <w:r>
      <w:rPr>
        <w:rFonts w:eastAsia="Calibri" w:cs="Arial"/>
        <w:b/>
        <w:noProof/>
        <w:color w:val="0054A1"/>
        <w:sz w:val="13"/>
        <w:szCs w:val="13"/>
      </w:rPr>
      <mc:AlternateContent>
        <mc:Choice Requires="wps">
          <w:drawing>
            <wp:anchor distT="0" distB="0" distL="114300" distR="114300" simplePos="0" relativeHeight="251779072" behindDoc="0" locked="0" layoutInCell="0" allowOverlap="1">
              <wp:simplePos x="0" y="0"/>
              <wp:positionH relativeFrom="page">
                <wp:align>right</wp:align>
              </wp:positionH>
              <wp:positionV relativeFrom="page">
                <wp:align>top</wp:align>
              </wp:positionV>
              <wp:extent cx="7772400" cy="266700"/>
              <wp:effectExtent l="0" t="0" r="0" b="0"/>
              <wp:wrapNone/>
              <wp:docPr id="5" name="MSIPCM6bf24930ac88c82ea22d2768" descr="{&quot;HashCode&quot;:-1487292391,&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CF7952" w:rsidRPr="00163922" w:rsidRDefault="00163922" w:rsidP="00163922">
                          <w:pPr>
                            <w:spacing w:before="0" w:after="0"/>
                            <w:jc w:val="right"/>
                            <w:rPr>
                              <w:rFonts w:ascii="Calibri" w:hAnsi="Calibri" w:cs="Calibri"/>
                              <w:color w:val="000000"/>
                              <w:sz w:val="20"/>
                            </w:rPr>
                          </w:pPr>
                          <w:r w:rsidRPr="00163922">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MSIPCM6bf24930ac88c82ea22d2768" o:spid="_x0000_s1027" type="#_x0000_t202" alt="{&quot;HashCode&quot;:-1487292391,&quot;Height&quot;:9999999.0,&quot;Width&quot;:9999999.0,&quot;Placement&quot;:&quot;Header&quot;,&quot;Index&quot;:&quot;Primary&quot;,&quot;Section&quot;:1,&quot;Top&quot;:0.0,&quot;Left&quot;:0.0}" style="position:absolute;left:0;text-align:left;margin-left:560.8pt;margin-top:0;width:612pt;height:21pt;z-index:251779072;visibility:visible;mso-wrap-style:square;mso-wrap-distance-left:9pt;mso-wrap-distance-top:0;mso-wrap-distance-right:9pt;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" o:allowincell="f" filled="f" stroked="f" strokeweight=".5pt">
              <v:textbox inset=",0,20pt,0">
                <w:txbxContent>
                  <w:p w:rsidR="00CF7952" w:rsidRPr="00163922" w:rsidRDefault="00163922" w:rsidP="00163922">
                    <w:pPr>
                      <w:spacing w:before="0" w:after="0"/>
                      <w:jc w:val="right"/>
                      <w:rPr>
                        <w:rFonts w:ascii="Calibri" w:hAnsi="Calibri" w:cs="Calibri"/>
                        <w:color w:val="000000"/>
                        <w:sz w:val="20"/>
                      </w:rPr>
                    </w:pPr>
                    <w:r w:rsidRPr="00163922">
                      <w:rPr>
                        <w:rFonts w:ascii="Calibri" w:hAnsi="Calibri" w:cs="Calibri"/>
                        <w:color w:val="000000"/>
                        <w:sz w:val="20"/>
                      </w:rPr>
                      <w:t>#interna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D98" w:rsidRDefault="00930D98">
    <w:pPr>
      <w:pBdr>
        <w:top w:val="nil"/>
        <w:left w:val="nil"/>
        <w:bottom w:val="nil"/>
        <w:right w:val="nil"/>
        <w:between w:val="nil"/>
        <w:bar w:val="nil"/>
      </w:pBdr>
      <w:spacing w:before="0" w:after="0" w:line="240" w:lineRule="auto"/>
      <w:jc w:val="left"/>
      <w:rPr>
        <w:rFonts w:ascii="Times New Roman" w:hAnsi="Times New Roman"/>
        <w:sz w:val="24"/>
        <w:szCs w:val="24"/>
        <w:bdr w:val="nil"/>
        <w:lang w:val="en-US" w:eastAsia="en-US"/>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566CE2" w:rsidTr="00BA6ED4">
      <w:tc>
        <w:tcPr>
          <w:tcW w:w="4889" w:type="dxa"/>
        </w:tcPr>
        <w:p w:rsidR="000277E6" w:rsidRPr="00270F2A" w:rsidRDefault="00A82039" w:rsidP="000277E6">
          <w:pPr>
            <w:pStyle w:val="Cabealho"/>
            <w:pBdr>
              <w:top w:val="nil"/>
              <w:left w:val="nil"/>
              <w:bottom w:val="nil"/>
              <w:right w:val="nil"/>
              <w:between w:val="nil"/>
              <w:bar w:val="nil"/>
            </w:pBdr>
            <w:tabs>
              <w:tab w:val="left" w:pos="708"/>
            </w:tabs>
            <w:spacing w:before="120"/>
            <w:rPr>
              <w:rFonts w:ascii="Arial" w:hAnsi="Arial" w:cs="Arial"/>
              <w:b/>
              <w:color w:val="0054A1"/>
              <w:sz w:val="24"/>
              <w:szCs w:val="24"/>
              <w:bdr w:val="nil"/>
            </w:rPr>
          </w:pPr>
          <w:r w:rsidRPr="00270F2A">
            <w:rPr>
              <w:rFonts w:ascii="Arial" w:hAnsi="Arial" w:cs="Arial"/>
              <w:b/>
              <w:color w:val="0054A1"/>
              <w:sz w:val="24"/>
              <w:szCs w:val="24"/>
              <w:bdr w:val="nil"/>
            </w:rPr>
            <w:t>Ativos S.A.</w:t>
          </w:r>
        </w:p>
        <w:p w:rsidR="00133A06" w:rsidRDefault="00A82039" w:rsidP="000277E6">
          <w:pPr>
            <w:pStyle w:val="Cabealho"/>
            <w:pBdr>
              <w:top w:val="nil"/>
              <w:left w:val="nil"/>
              <w:bottom w:val="nil"/>
              <w:right w:val="nil"/>
              <w:between w:val="nil"/>
              <w:bar w:val="nil"/>
            </w:pBdr>
            <w:tabs>
              <w:tab w:val="left" w:pos="708"/>
            </w:tabs>
            <w:spacing w:before="120"/>
            <w:rPr>
              <w:rFonts w:ascii="Arial" w:hAnsi="Arial" w:cs="Arial"/>
              <w:b/>
              <w:color w:val="0054A1"/>
              <w:sz w:val="24"/>
              <w:szCs w:val="24"/>
              <w:bdr w:val="nil"/>
            </w:rPr>
          </w:pPr>
          <w:r w:rsidRPr="00270F2A">
            <w:rPr>
              <w:rFonts w:ascii="Arial" w:hAnsi="Arial" w:cs="Arial"/>
              <w:b/>
              <w:color w:val="0054A1"/>
              <w:sz w:val="24"/>
              <w:szCs w:val="24"/>
              <w:bdr w:val="nil"/>
            </w:rPr>
            <w:t>Securitizadora de Créditos Financeiros</w:t>
          </w:r>
        </w:p>
      </w:tc>
      <w:tc>
        <w:tcPr>
          <w:tcW w:w="4890" w:type="dxa"/>
        </w:tcPr>
        <w:p w:rsidR="000277E6" w:rsidRPr="00A479E5" w:rsidRDefault="00A82039" w:rsidP="000277E6">
          <w:pPr>
            <w:pStyle w:val="Cabealho"/>
            <w:pBdr>
              <w:top w:val="nil"/>
              <w:left w:val="nil"/>
              <w:bottom w:val="nil"/>
              <w:right w:val="nil"/>
              <w:between w:val="nil"/>
              <w:bar w:val="nil"/>
            </w:pBdr>
            <w:tabs>
              <w:tab w:val="left" w:pos="708"/>
            </w:tabs>
            <w:spacing w:before="120"/>
            <w:jc w:val="right"/>
            <w:rPr>
              <w:rFonts w:ascii="Arial" w:hAnsi="Arial" w:cs="Arial"/>
              <w:b/>
              <w:color w:val="0054A1"/>
              <w:bdr w:val="nil"/>
              <w:lang w:val="pt-BR"/>
            </w:rPr>
          </w:pPr>
          <w:r w:rsidRPr="00A479E5">
            <w:rPr>
              <w:rFonts w:ascii="Arial" w:hAnsi="Arial" w:cs="Arial"/>
              <w:b/>
              <w:color w:val="0054A1"/>
              <w:bdr w:val="nil"/>
              <w:lang w:val="pt-BR"/>
            </w:rPr>
            <w:t>Relatório da A</w:t>
          </w:r>
          <w:r>
            <w:rPr>
              <w:rFonts w:ascii="Arial" w:hAnsi="Arial" w:cs="Arial"/>
              <w:b/>
              <w:color w:val="0054A1"/>
              <w:bdr w:val="nil"/>
              <w:lang w:val="pt-BR"/>
            </w:rPr>
            <w:t>dministração</w:t>
          </w:r>
        </w:p>
        <w:p w:rsidR="000277E6" w:rsidRPr="00A479E5" w:rsidRDefault="00A82039" w:rsidP="000277E6">
          <w:pPr>
            <w:pStyle w:val="Cabealho"/>
            <w:pBdr>
              <w:top w:val="nil"/>
              <w:left w:val="nil"/>
              <w:bottom w:val="nil"/>
              <w:right w:val="nil"/>
              <w:between w:val="nil"/>
              <w:bar w:val="nil"/>
            </w:pBdr>
            <w:tabs>
              <w:tab w:val="right" w:pos="9355"/>
            </w:tabs>
            <w:spacing w:before="120"/>
            <w:jc w:val="right"/>
            <w:rPr>
              <w:rFonts w:ascii="Arial" w:hAnsi="Arial" w:cs="Arial"/>
              <w:b/>
              <w:color w:val="585151"/>
              <w:bdr w:val="nil"/>
              <w:lang w:val="pt-BR"/>
            </w:rPr>
          </w:pPr>
          <w:r w:rsidRPr="00A479E5">
            <w:rPr>
              <w:rFonts w:ascii="Arial" w:hAnsi="Arial" w:cs="Arial"/>
              <w:b/>
              <w:color w:val="585151"/>
              <w:bdr w:val="nil"/>
              <w:lang w:val="pt-BR"/>
            </w:rPr>
            <w:t>Exercício encerrado em 31.12.2019</w:t>
          </w:r>
        </w:p>
        <w:p w:rsidR="000277E6" w:rsidRPr="00A479E5" w:rsidRDefault="000277E6" w:rsidP="00BC7C5C">
          <w:pPr>
            <w:pStyle w:val="Cabealho"/>
            <w:spacing w:before="400"/>
            <w:jc w:val="right"/>
            <w:rPr>
              <w:rFonts w:ascii="Arial" w:hAnsi="Arial" w:cs="Arial"/>
              <w:b/>
              <w:color w:val="0054A1"/>
              <w:sz w:val="24"/>
              <w:szCs w:val="24"/>
              <w:bdr w:val="nil"/>
              <w:lang w:val="pt-BR"/>
            </w:rPr>
          </w:pPr>
        </w:p>
      </w:tc>
    </w:tr>
  </w:tbl>
  <w:p w:rsidR="00FF7457" w:rsidRPr="00FF7457" w:rsidRDefault="00A82039" w:rsidP="000277E6">
    <w:pPr>
      <w:pStyle w:val="Cabealho"/>
      <w:pBdr>
        <w:top w:val="nil"/>
        <w:left w:val="nil"/>
        <w:bottom w:val="nil"/>
        <w:right w:val="nil"/>
        <w:between w:val="nil"/>
        <w:bar w:val="nil"/>
      </w:pBdr>
      <w:tabs>
        <w:tab w:val="left" w:pos="708"/>
      </w:tabs>
      <w:spacing w:before="120"/>
      <w:jc w:val="right"/>
      <w:rPr>
        <w:rFonts w:ascii="Arial" w:hAnsi="Arial" w:cs="Arial"/>
        <w:b/>
        <w:color w:val="0054A1"/>
        <w:sz w:val="13"/>
        <w:szCs w:val="13"/>
        <w:bdr w:val="nil"/>
        <w:lang w:val="en-US"/>
      </w:rPr>
    </w:pPr>
    <w:r w:rsidRPr="00FF7457">
      <w:rPr>
        <w:rFonts w:ascii="Arial" w:hAnsi="Arial" w:cs="Arial"/>
        <w:noProof/>
        <w:bdr w:val="nil"/>
        <w:lang w:eastAsia="pt-BR"/>
      </w:rPr>
      <w:drawing>
        <wp:anchor distT="0" distB="0" distL="114300" distR="114300" simplePos="0" relativeHeight="251702272" behindDoc="1" locked="0" layoutInCell="1" allowOverlap="1">
          <wp:simplePos x="0" y="0"/>
          <wp:positionH relativeFrom="page">
            <wp:align>left</wp:align>
          </wp:positionH>
          <wp:positionV relativeFrom="page">
            <wp:align>top</wp:align>
          </wp:positionV>
          <wp:extent cx="10692130" cy="1166495"/>
          <wp:effectExtent l="0" t="0" r="0" b="0"/>
          <wp:wrapNone/>
          <wp:docPr id="38640403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487164"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w:drawing>
        <wp:anchor distT="0" distB="0" distL="114300" distR="114300" simplePos="0" relativeHeight="251765760" behindDoc="1" locked="0" layoutInCell="1" allowOverlap="1">
          <wp:simplePos x="0" y="0"/>
          <wp:positionH relativeFrom="page">
            <wp:posOffset>0</wp:posOffset>
          </wp:positionH>
          <wp:positionV relativeFrom="page">
            <wp:posOffset>0</wp:posOffset>
          </wp:positionV>
          <wp:extent cx="10692000" cy="1170000"/>
          <wp:effectExtent l="0" t="0" r="0" b="0"/>
          <wp:wrapNone/>
          <wp:docPr id="174295382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648153"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mc:AlternateContent>
        <mc:Choice Requires="wpg">
          <w:drawing>
            <wp:anchor distT="0" distB="0" distL="114300" distR="114300" simplePos="0" relativeHeight="251769856"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77843121"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022036420"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305730029"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Agrupar 9" o:spid="_x0000_s2053"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47648"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width:21600;height:21600;position:absolute">
                <v:imagedata r:id="rId5" o:title=""/>
              </v:shape>
              <v:shape id="_x0000_s2055" type="#_x0000_t75" style="width:21600;height:21600;position:absolute" filled="f" stroked="f">
                <v:imagedata r:id="rId6" o:title=""/>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566CE2" w:rsidTr="00BA6ED4">
      <w:tc>
        <w:tcPr>
          <w:tcW w:w="4889" w:type="dxa"/>
        </w:tcPr>
        <w:p w:rsidR="000277E6" w:rsidRPr="00270F2A" w:rsidRDefault="00A82039" w:rsidP="000277E6">
          <w:pPr>
            <w:pStyle w:val="Cabealho"/>
            <w:pBdr>
              <w:top w:val="nil"/>
              <w:left w:val="nil"/>
              <w:bottom w:val="nil"/>
              <w:right w:val="nil"/>
              <w:between w:val="nil"/>
              <w:bar w:val="nil"/>
            </w:pBdr>
            <w:tabs>
              <w:tab w:val="left" w:pos="708"/>
            </w:tabs>
            <w:spacing w:before="120"/>
            <w:rPr>
              <w:rFonts w:ascii="Arial" w:hAnsi="Arial" w:cs="Arial"/>
              <w:b/>
              <w:color w:val="0054A1"/>
              <w:sz w:val="24"/>
              <w:szCs w:val="24"/>
              <w:bdr w:val="nil"/>
            </w:rPr>
          </w:pPr>
          <w:r w:rsidRPr="00270F2A">
            <w:rPr>
              <w:rFonts w:ascii="Arial" w:hAnsi="Arial" w:cs="Arial"/>
              <w:b/>
              <w:color w:val="0054A1"/>
              <w:sz w:val="24"/>
              <w:szCs w:val="24"/>
              <w:bdr w:val="nil"/>
            </w:rPr>
            <w:t>Ativos S.A.</w:t>
          </w:r>
        </w:p>
        <w:p w:rsidR="00133A06" w:rsidRDefault="00A82039" w:rsidP="000277E6">
          <w:pPr>
            <w:pStyle w:val="Cabealho"/>
            <w:pBdr>
              <w:top w:val="nil"/>
              <w:left w:val="nil"/>
              <w:bottom w:val="nil"/>
              <w:right w:val="nil"/>
              <w:between w:val="nil"/>
              <w:bar w:val="nil"/>
            </w:pBdr>
            <w:tabs>
              <w:tab w:val="left" w:pos="708"/>
            </w:tabs>
            <w:spacing w:before="120"/>
            <w:rPr>
              <w:rFonts w:ascii="Arial" w:hAnsi="Arial" w:cs="Arial"/>
              <w:b/>
              <w:color w:val="0054A1"/>
              <w:sz w:val="24"/>
              <w:szCs w:val="24"/>
              <w:bdr w:val="nil"/>
            </w:rPr>
          </w:pPr>
          <w:r w:rsidRPr="00270F2A">
            <w:rPr>
              <w:rFonts w:ascii="Arial" w:hAnsi="Arial" w:cs="Arial"/>
              <w:b/>
              <w:color w:val="0054A1"/>
              <w:sz w:val="24"/>
              <w:szCs w:val="24"/>
              <w:bdr w:val="nil"/>
            </w:rPr>
            <w:t>Securitizadora de Créditos Financeiros</w:t>
          </w:r>
        </w:p>
      </w:tc>
      <w:tc>
        <w:tcPr>
          <w:tcW w:w="4890" w:type="dxa"/>
        </w:tcPr>
        <w:p w:rsidR="000277E6" w:rsidRPr="00A479E5" w:rsidRDefault="00A82039" w:rsidP="000277E6">
          <w:pPr>
            <w:pStyle w:val="Cabealho"/>
            <w:pBdr>
              <w:top w:val="nil"/>
              <w:left w:val="nil"/>
              <w:bottom w:val="nil"/>
              <w:right w:val="nil"/>
              <w:between w:val="nil"/>
              <w:bar w:val="nil"/>
            </w:pBdr>
            <w:tabs>
              <w:tab w:val="left" w:pos="708"/>
            </w:tabs>
            <w:spacing w:before="120"/>
            <w:jc w:val="right"/>
            <w:rPr>
              <w:rFonts w:ascii="Arial" w:hAnsi="Arial" w:cs="Arial"/>
              <w:b/>
              <w:color w:val="0054A1"/>
              <w:bdr w:val="nil"/>
              <w:lang w:val="pt-BR"/>
            </w:rPr>
          </w:pPr>
          <w:r w:rsidRPr="00A479E5">
            <w:rPr>
              <w:rFonts w:ascii="Arial" w:hAnsi="Arial" w:cs="Arial"/>
              <w:b/>
              <w:color w:val="0054A1"/>
              <w:bdr w:val="nil"/>
              <w:lang w:val="pt-BR"/>
            </w:rPr>
            <w:t>Relatório da A</w:t>
          </w:r>
          <w:r>
            <w:rPr>
              <w:rFonts w:ascii="Arial" w:hAnsi="Arial" w:cs="Arial"/>
              <w:b/>
              <w:color w:val="0054A1"/>
              <w:bdr w:val="nil"/>
              <w:lang w:val="pt-BR"/>
            </w:rPr>
            <w:t>dministração</w:t>
          </w:r>
        </w:p>
        <w:p w:rsidR="000277E6" w:rsidRPr="00A479E5" w:rsidRDefault="00A82039" w:rsidP="000277E6">
          <w:pPr>
            <w:pStyle w:val="Cabealho"/>
            <w:pBdr>
              <w:top w:val="nil"/>
              <w:left w:val="nil"/>
              <w:bottom w:val="nil"/>
              <w:right w:val="nil"/>
              <w:between w:val="nil"/>
              <w:bar w:val="nil"/>
            </w:pBdr>
            <w:tabs>
              <w:tab w:val="right" w:pos="9355"/>
            </w:tabs>
            <w:spacing w:before="120"/>
            <w:jc w:val="right"/>
            <w:rPr>
              <w:rFonts w:ascii="Arial" w:hAnsi="Arial" w:cs="Arial"/>
              <w:b/>
              <w:color w:val="585151"/>
              <w:bdr w:val="nil"/>
              <w:lang w:val="pt-BR"/>
            </w:rPr>
          </w:pPr>
          <w:r w:rsidRPr="00A479E5">
            <w:rPr>
              <w:rFonts w:ascii="Arial" w:hAnsi="Arial" w:cs="Arial"/>
              <w:b/>
              <w:color w:val="585151"/>
              <w:bdr w:val="nil"/>
              <w:lang w:val="pt-BR"/>
            </w:rPr>
            <w:t>Exercício encerrado em 31.12.2019</w:t>
          </w:r>
        </w:p>
        <w:p w:rsidR="000277E6" w:rsidRPr="00A479E5" w:rsidRDefault="000277E6" w:rsidP="00BC7C5C">
          <w:pPr>
            <w:pStyle w:val="Cabealho"/>
            <w:spacing w:before="400"/>
            <w:jc w:val="right"/>
            <w:rPr>
              <w:rFonts w:ascii="Arial" w:hAnsi="Arial" w:cs="Arial"/>
              <w:b/>
              <w:color w:val="0054A1"/>
              <w:sz w:val="24"/>
              <w:szCs w:val="24"/>
              <w:bdr w:val="nil"/>
              <w:lang w:val="pt-BR"/>
            </w:rPr>
          </w:pPr>
        </w:p>
      </w:tc>
    </w:tr>
  </w:tbl>
  <w:p w:rsidR="00FF7457" w:rsidRPr="00FF7457" w:rsidRDefault="00126A7C" w:rsidP="000277E6">
    <w:pPr>
      <w:pStyle w:val="Cabealho"/>
      <w:pBdr>
        <w:top w:val="nil"/>
        <w:left w:val="nil"/>
        <w:bottom w:val="nil"/>
        <w:right w:val="nil"/>
        <w:between w:val="nil"/>
        <w:bar w:val="nil"/>
      </w:pBdr>
      <w:tabs>
        <w:tab w:val="left" w:pos="708"/>
      </w:tabs>
      <w:spacing w:before="120"/>
      <w:jc w:val="right"/>
      <w:rPr>
        <w:rFonts w:ascii="Arial" w:hAnsi="Arial" w:cs="Arial"/>
        <w:b/>
        <w:color w:val="0054A1"/>
        <w:sz w:val="13"/>
        <w:szCs w:val="13"/>
        <w:bdr w:val="nil"/>
        <w:lang w:val="en-US"/>
      </w:rPr>
    </w:pPr>
    <w:r>
      <w:rPr>
        <w:rFonts w:ascii="Arial" w:hAnsi="Arial" w:cs="Arial"/>
        <w:noProof/>
        <w:lang w:eastAsia="pt-BR"/>
      </w:rPr>
      <mc:AlternateContent>
        <mc:Choice Requires="wps">
          <w:drawing>
            <wp:anchor distT="0" distB="0" distL="114300" distR="114300" simplePos="0" relativeHeight="251780096" behindDoc="0" locked="0" layoutInCell="0" allowOverlap="1">
              <wp:simplePos x="0" y="0"/>
              <wp:positionH relativeFrom="page">
                <wp:align>right</wp:align>
              </wp:positionH>
              <wp:positionV relativeFrom="page">
                <wp:align>top</wp:align>
              </wp:positionV>
              <wp:extent cx="7772400" cy="266700"/>
              <wp:effectExtent l="0" t="0" r="0" b="0"/>
              <wp:wrapNone/>
              <wp:docPr id="1" name="MSIPCM5e074113b846401b9d70cee4" descr="{&quot;HashCode&quot;:-1487292391,&quot;Height&quot;:9999999.0,&quot;Width&quot;:9999999.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126A7C" w:rsidRPr="00163922" w:rsidRDefault="00163922" w:rsidP="00163922">
                          <w:pPr>
                            <w:spacing w:before="0" w:after="0"/>
                            <w:jc w:val="right"/>
                            <w:rPr>
                              <w:rFonts w:ascii="Calibri" w:hAnsi="Calibri" w:cs="Calibri"/>
                              <w:color w:val="000000"/>
                              <w:sz w:val="20"/>
                            </w:rPr>
                          </w:pPr>
                          <w:r w:rsidRPr="00163922">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MSIPCM5e074113b846401b9d70cee4" o:spid="_x0000_s1028" type="#_x0000_t202" alt="{&quot;HashCode&quot;:-1487292391,&quot;Height&quot;:9999999.0,&quot;Width&quot;:9999999.0,&quot;Placement&quot;:&quot;Header&quot;,&quot;Index&quot;:&quot;Primary&quot;,&quot;Section&quot;:2,&quot;Top&quot;:0.0,&quot;Left&quot;:0.0}" style="position:absolute;left:0;text-align:left;margin-left:560.8pt;margin-top:0;width:612pt;height:21pt;z-index:251780096;visibility:visible;mso-wrap-style:square;mso-wrap-distance-left:9pt;mso-wrap-distance-top:0;mso-wrap-distance-right:9pt;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" o:allowincell="f" filled="f" stroked="f" strokeweight=".5pt">
              <v:textbox inset=",0,20pt,0">
                <w:txbxContent>
                  <w:p w:rsidR="00126A7C" w:rsidRPr="00163922" w:rsidRDefault="00163922" w:rsidP="00163922">
                    <w:pPr>
                      <w:spacing w:before="0" w:after="0"/>
                      <w:jc w:val="right"/>
                      <w:rPr>
                        <w:rFonts w:ascii="Calibri" w:hAnsi="Calibri" w:cs="Calibri"/>
                        <w:color w:val="000000"/>
                        <w:sz w:val="20"/>
                      </w:rPr>
                    </w:pPr>
                    <w:r w:rsidRPr="00163922">
                      <w:rPr>
                        <w:rFonts w:ascii="Calibri" w:hAnsi="Calibri" w:cs="Calibri"/>
                        <w:color w:val="000000"/>
                        <w:sz w:val="20"/>
                      </w:rPr>
                      <w:t>#interna</w:t>
                    </w:r>
                  </w:p>
                </w:txbxContent>
              </v:textbox>
              <w10:wrap anchorx="page" anchory="page"/>
            </v:shape>
          </w:pict>
        </mc:Fallback>
      </mc:AlternateContent>
    </w:r>
    <w:r w:rsidR="00A82039" w:rsidRPr="00FF7457">
      <w:rPr>
        <w:rFonts w:ascii="Arial" w:hAnsi="Arial" w:cs="Arial"/>
        <w:noProof/>
        <w:bdr w:val="nil"/>
        <w:lang w:eastAsia="pt-BR"/>
      </w:rPr>
      <w:drawing>
        <wp:anchor distT="0" distB="0" distL="114300" distR="114300" simplePos="0" relativeHeight="251658240" behindDoc="1" locked="0" layoutInCell="1" allowOverlap="1">
          <wp:simplePos x="0" y="0"/>
          <wp:positionH relativeFrom="page">
            <wp:align>left</wp:align>
          </wp:positionH>
          <wp:positionV relativeFrom="page">
            <wp:align>top</wp:align>
          </wp:positionV>
          <wp:extent cx="10692130" cy="1166495"/>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967512"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00A82039" w:rsidRPr="00FF7457">
      <w:rPr>
        <w:rFonts w:ascii="Arial" w:hAnsi="Arial" w:cs="Arial"/>
        <w:noProof/>
        <w:bdr w:val="nil"/>
        <w:lang w:eastAsia="pt-BR"/>
      </w:rPr>
      <w:drawing>
        <wp:anchor distT="0" distB="0" distL="114300" distR="114300" simplePos="0" relativeHeight="251764736" behindDoc="1" locked="0" layoutInCell="1" allowOverlap="1">
          <wp:simplePos x="0" y="0"/>
          <wp:positionH relativeFrom="page">
            <wp:posOffset>0</wp:posOffset>
          </wp:positionH>
          <wp:positionV relativeFrom="page">
            <wp:posOffset>0</wp:posOffset>
          </wp:positionV>
          <wp:extent cx="10692000" cy="1170000"/>
          <wp:effectExtent l="0" t="0" r="0" b="0"/>
          <wp:wrapNone/>
          <wp:docPr id="33424581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522558"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00A82039" w:rsidRPr="00FF7457">
      <w:rPr>
        <w:rFonts w:ascii="Arial" w:hAnsi="Arial" w:cs="Arial"/>
        <w:noProof/>
        <w:bdr w:val="nil"/>
        <w:lang w:eastAsia="pt-BR"/>
      </w:rPr>
      <mc:AlternateContent>
        <mc:Choice Requires="wpg">
          <w:drawing>
            <wp:anchor distT="0" distB="0" distL="114300" distR="114300" simplePos="0" relativeHeight="251767808"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2"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757776546"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Agrupar 9" o:spid="_x0000_s2056"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49696"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width:21600;height:21600;position:absolute">
                <v:imagedata r:id="rId5" o:title=""/>
              </v:shape>
              <v:shape id="_x0000_s2058" type="#_x0000_t75" style="width:21600;height:21600;position:absolute" filled="f" stroked="f">
                <v:imagedata r:id="rId6" o:title=""/>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CE2" w:rsidRDefault="00566CE2">
    <w:pPr>
      <w:pBdr>
        <w:top w:val="nil"/>
        <w:left w:val="nil"/>
        <w:bottom w:val="nil"/>
        <w:right w:val="nil"/>
        <w:between w:val="nil"/>
        <w:bar w:val="nil"/>
      </w:pBdr>
      <w:spacing w:before="0" w:after="200"/>
      <w:jc w:val="left"/>
      <w:rPr>
        <w:bdr w:val="nil"/>
        <w:lang w:eastAsia="en-US"/>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566CE2" w:rsidTr="00BA6ED4">
      <w:tc>
        <w:tcPr>
          <w:tcW w:w="4889" w:type="dxa"/>
        </w:tcPr>
        <w:p w:rsidR="000277E6" w:rsidRPr="00270F2A" w:rsidRDefault="00A82039" w:rsidP="000277E6">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Ativos S.A.</w:t>
          </w:r>
        </w:p>
        <w:p w:rsidR="00133A06" w:rsidRDefault="00A82039" w:rsidP="000277E6">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Securitizadora de Créditos Financeiros</w:t>
          </w:r>
        </w:p>
      </w:tc>
      <w:tc>
        <w:tcPr>
          <w:tcW w:w="4890" w:type="dxa"/>
        </w:tcPr>
        <w:p w:rsidR="000277E6" w:rsidRPr="003036D7" w:rsidRDefault="00A82039" w:rsidP="000277E6">
          <w:pPr>
            <w:pBdr>
              <w:top w:val="nil"/>
              <w:left w:val="nil"/>
              <w:bottom w:val="nil"/>
              <w:right w:val="nil"/>
              <w:between w:val="nil"/>
              <w:bar w:val="nil"/>
            </w:pBdr>
            <w:tabs>
              <w:tab w:val="left" w:pos="708"/>
              <w:tab w:val="center" w:pos="4680"/>
              <w:tab w:val="right" w:pos="9360"/>
            </w:tabs>
            <w:jc w:val="right"/>
            <w:rPr>
              <w:b/>
              <w:color w:val="0054A1"/>
              <w:sz w:val="22"/>
              <w:szCs w:val="22"/>
              <w:bdr w:val="nil"/>
              <w:lang w:eastAsia="en-US"/>
            </w:rPr>
          </w:pPr>
          <w:r w:rsidRPr="003036D7">
            <w:rPr>
              <w:b/>
              <w:color w:val="0054A1"/>
              <w:sz w:val="22"/>
              <w:szCs w:val="22"/>
              <w:bdr w:val="nil"/>
              <w:lang w:eastAsia="en-US"/>
            </w:rPr>
            <w:t>Demonstrações Contábeis</w:t>
          </w:r>
        </w:p>
        <w:p w:rsidR="000277E6" w:rsidRPr="003036D7" w:rsidRDefault="00A82039" w:rsidP="000277E6">
          <w:pPr>
            <w:pBdr>
              <w:top w:val="nil"/>
              <w:left w:val="nil"/>
              <w:bottom w:val="nil"/>
              <w:right w:val="nil"/>
              <w:between w:val="nil"/>
              <w:bar w:val="nil"/>
            </w:pBdr>
            <w:tabs>
              <w:tab w:val="center" w:pos="4680"/>
              <w:tab w:val="right" w:pos="9355"/>
            </w:tabs>
            <w:jc w:val="right"/>
            <w:rPr>
              <w:b/>
              <w:color w:val="585151"/>
              <w:sz w:val="22"/>
              <w:szCs w:val="22"/>
              <w:bdr w:val="nil"/>
              <w:lang w:eastAsia="en-US"/>
            </w:rPr>
          </w:pPr>
          <w:r>
            <w:rPr>
              <w:b/>
              <w:color w:val="585151"/>
              <w:sz w:val="22"/>
              <w:szCs w:val="22"/>
              <w:bdr w:val="nil"/>
              <w:lang w:eastAsia="en-US"/>
            </w:rPr>
            <w:t>##D&lt;varTextoDataCabecalho&gt;</w:t>
          </w:r>
        </w:p>
        <w:p w:rsidR="000277E6" w:rsidRPr="00A46AE8" w:rsidRDefault="00A82039" w:rsidP="00BA6ED4">
          <w:pPr>
            <w:pBdr>
              <w:top w:val="nil"/>
              <w:left w:val="nil"/>
              <w:bottom w:val="nil"/>
              <w:right w:val="nil"/>
              <w:between w:val="nil"/>
              <w:bar w:val="nil"/>
            </w:pBdr>
            <w:tabs>
              <w:tab w:val="center" w:pos="4680"/>
              <w:tab w:val="right" w:pos="9360"/>
            </w:tabs>
            <w:spacing w:before="440" w:after="40"/>
            <w:jc w:val="right"/>
            <w:rPr>
              <w:b/>
              <w:color w:val="0054A1"/>
              <w:spacing w:val="-6"/>
              <w:sz w:val="24"/>
              <w:szCs w:val="24"/>
              <w:bdr w:val="nil"/>
              <w:lang w:eastAsia="en-US"/>
            </w:rPr>
          </w:pPr>
          <w:r w:rsidRPr="00A46AE8">
            <w:rPr>
              <w:b/>
              <w:color w:val="0054A1"/>
              <w:spacing w:val="-6"/>
              <w:sz w:val="13"/>
              <w:szCs w:val="13"/>
              <w:bdr w:val="nil"/>
              <w:lang w:eastAsia="en-US"/>
            </w:rPr>
            <w:t>Valores expressos em milhares de Reais, exceto quando indicado</w:t>
          </w:r>
        </w:p>
      </w:tc>
    </w:tr>
  </w:tbl>
  <w:p w:rsidR="00FF7457" w:rsidRPr="00FF7457" w:rsidRDefault="00A82039" w:rsidP="000277E6">
    <w:pPr>
      <w:pBdr>
        <w:top w:val="nil"/>
        <w:left w:val="nil"/>
        <w:bottom w:val="nil"/>
        <w:right w:val="nil"/>
        <w:between w:val="nil"/>
        <w:bar w:val="nil"/>
      </w:pBdr>
      <w:tabs>
        <w:tab w:val="left" w:pos="708"/>
        <w:tab w:val="center" w:pos="4680"/>
        <w:tab w:val="right" w:pos="9360"/>
      </w:tabs>
      <w:spacing w:after="0" w:line="240" w:lineRule="auto"/>
      <w:jc w:val="right"/>
      <w:rPr>
        <w:rFonts w:eastAsia="Calibri" w:cs="Arial"/>
        <w:b/>
        <w:color w:val="0054A1"/>
        <w:sz w:val="13"/>
        <w:szCs w:val="13"/>
        <w:bdr w:val="nil"/>
        <w:lang w:val="en-US" w:eastAsia="en-US"/>
      </w:rPr>
    </w:pPr>
    <w:r w:rsidRPr="00FF7457">
      <w:rPr>
        <w:rFonts w:eastAsia="Calibri" w:cs="Arial"/>
        <w:noProof/>
        <w:sz w:val="22"/>
        <w:szCs w:val="22"/>
        <w:bdr w:val="nil"/>
      </w:rPr>
      <w:drawing>
        <wp:anchor distT="0" distB="0" distL="114300" distR="114300" simplePos="0" relativeHeight="251660288" behindDoc="1" locked="0" layoutInCell="1" allowOverlap="1">
          <wp:simplePos x="0" y="0"/>
          <wp:positionH relativeFrom="page">
            <wp:align>left</wp:align>
          </wp:positionH>
          <wp:positionV relativeFrom="page">
            <wp:align>top</wp:align>
          </wp:positionV>
          <wp:extent cx="10692130" cy="1166495"/>
          <wp:effectExtent l="0" t="0" r="0" b="0"/>
          <wp:wrapNone/>
          <wp:docPr id="462442709"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72973"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w:drawing>
        <wp:anchor distT="0" distB="0" distL="114300" distR="114300" simplePos="0" relativeHeight="251704320" behindDoc="1" locked="0" layoutInCell="1" allowOverlap="1">
          <wp:simplePos x="0" y="0"/>
          <wp:positionH relativeFrom="page">
            <wp:posOffset>0</wp:posOffset>
          </wp:positionH>
          <wp:positionV relativeFrom="page">
            <wp:posOffset>0</wp:posOffset>
          </wp:positionV>
          <wp:extent cx="10692000" cy="1170000"/>
          <wp:effectExtent l="0" t="0" r="0" b="0"/>
          <wp:wrapNone/>
          <wp:docPr id="63160939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942162"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mc:AlternateContent>
        <mc:Choice Requires="wpg">
          <w:drawing>
            <wp:anchor distT="0" distB="0" distL="114300" distR="114300" simplePos="0" relativeHeight="251721728"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1506117712"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152482223"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773732956"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Agrupar 9" o:spid="_x0000_s2061"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95776"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width:21600;height:21600;position:absolute">
                <v:imagedata r:id="rId5" o:title=""/>
              </v:shape>
              <v:shape id="_x0000_s2063" type="#_x0000_t75" style="width:21600;height:21600;position:absolute" filled="f" stroked="f">
                <v:imagedata r:id="rId6" o:title=""/>
              </v:shap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566CE2" w:rsidTr="00BA6ED4">
      <w:tc>
        <w:tcPr>
          <w:tcW w:w="4889" w:type="dxa"/>
        </w:tcPr>
        <w:p w:rsidR="000277E6" w:rsidRPr="00270F2A" w:rsidRDefault="00A82039" w:rsidP="000277E6">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Ativos S.A.</w:t>
          </w:r>
        </w:p>
        <w:p w:rsidR="00133A06" w:rsidRDefault="00A82039" w:rsidP="000277E6">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Securitizadora de Créditos Financeiros</w:t>
          </w:r>
        </w:p>
      </w:tc>
      <w:tc>
        <w:tcPr>
          <w:tcW w:w="4890" w:type="dxa"/>
        </w:tcPr>
        <w:p w:rsidR="000277E6" w:rsidRPr="003036D7" w:rsidRDefault="00A82039" w:rsidP="000277E6">
          <w:pPr>
            <w:pBdr>
              <w:top w:val="nil"/>
              <w:left w:val="nil"/>
              <w:bottom w:val="nil"/>
              <w:right w:val="nil"/>
              <w:between w:val="nil"/>
              <w:bar w:val="nil"/>
            </w:pBdr>
            <w:tabs>
              <w:tab w:val="left" w:pos="708"/>
              <w:tab w:val="center" w:pos="4680"/>
              <w:tab w:val="right" w:pos="9360"/>
            </w:tabs>
            <w:jc w:val="right"/>
            <w:rPr>
              <w:b/>
              <w:color w:val="0054A1"/>
              <w:sz w:val="22"/>
              <w:szCs w:val="22"/>
              <w:bdr w:val="nil"/>
              <w:lang w:eastAsia="en-US"/>
            </w:rPr>
          </w:pPr>
          <w:r w:rsidRPr="003036D7">
            <w:rPr>
              <w:b/>
              <w:color w:val="0054A1"/>
              <w:sz w:val="22"/>
              <w:szCs w:val="22"/>
              <w:bdr w:val="nil"/>
              <w:lang w:eastAsia="en-US"/>
            </w:rPr>
            <w:t>Demonstrações Contábeis</w:t>
          </w:r>
        </w:p>
        <w:p w:rsidR="000277E6" w:rsidRPr="003036D7" w:rsidRDefault="00CF7952" w:rsidP="000277E6">
          <w:pPr>
            <w:pBdr>
              <w:top w:val="nil"/>
              <w:left w:val="nil"/>
              <w:bottom w:val="nil"/>
              <w:right w:val="nil"/>
              <w:between w:val="nil"/>
              <w:bar w:val="nil"/>
            </w:pBdr>
            <w:tabs>
              <w:tab w:val="center" w:pos="4680"/>
              <w:tab w:val="right" w:pos="9355"/>
            </w:tabs>
            <w:jc w:val="right"/>
            <w:rPr>
              <w:b/>
              <w:color w:val="585151"/>
              <w:sz w:val="22"/>
              <w:szCs w:val="22"/>
              <w:bdr w:val="nil"/>
              <w:lang w:eastAsia="en-US"/>
            </w:rPr>
          </w:pPr>
          <w:r w:rsidRPr="00CF7952">
            <w:rPr>
              <w:b/>
              <w:color w:val="585151"/>
              <w:sz w:val="22"/>
              <w:szCs w:val="22"/>
              <w:bdr w:val="nil"/>
              <w:lang w:eastAsia="en-US"/>
            </w:rPr>
            <w:t>Exercício encerrado em 31.12.2019</w:t>
          </w:r>
        </w:p>
        <w:p w:rsidR="000277E6" w:rsidRPr="00A46AE8" w:rsidRDefault="00A82039" w:rsidP="00BA6ED4">
          <w:pPr>
            <w:pBdr>
              <w:top w:val="nil"/>
              <w:left w:val="nil"/>
              <w:bottom w:val="nil"/>
              <w:right w:val="nil"/>
              <w:between w:val="nil"/>
              <w:bar w:val="nil"/>
            </w:pBdr>
            <w:tabs>
              <w:tab w:val="center" w:pos="4680"/>
              <w:tab w:val="right" w:pos="9360"/>
            </w:tabs>
            <w:spacing w:before="440" w:after="40"/>
            <w:jc w:val="right"/>
            <w:rPr>
              <w:b/>
              <w:color w:val="0054A1"/>
              <w:spacing w:val="-6"/>
              <w:sz w:val="24"/>
              <w:szCs w:val="24"/>
              <w:bdr w:val="nil"/>
              <w:lang w:eastAsia="en-US"/>
            </w:rPr>
          </w:pPr>
          <w:r w:rsidRPr="00A46AE8">
            <w:rPr>
              <w:b/>
              <w:color w:val="0054A1"/>
              <w:spacing w:val="-6"/>
              <w:sz w:val="13"/>
              <w:szCs w:val="13"/>
              <w:bdr w:val="nil"/>
              <w:lang w:eastAsia="en-US"/>
            </w:rPr>
            <w:t>Valores expressos em milhares de Reais, exceto quando indicado</w:t>
          </w:r>
        </w:p>
      </w:tc>
    </w:tr>
  </w:tbl>
  <w:p w:rsidR="00FF7457" w:rsidRPr="00FF7457" w:rsidRDefault="00A82039" w:rsidP="000277E6">
    <w:pPr>
      <w:pBdr>
        <w:top w:val="nil"/>
        <w:left w:val="nil"/>
        <w:bottom w:val="nil"/>
        <w:right w:val="nil"/>
        <w:between w:val="nil"/>
        <w:bar w:val="nil"/>
      </w:pBdr>
      <w:tabs>
        <w:tab w:val="left" w:pos="708"/>
        <w:tab w:val="center" w:pos="4680"/>
        <w:tab w:val="right" w:pos="9360"/>
      </w:tabs>
      <w:spacing w:after="0" w:line="240" w:lineRule="auto"/>
      <w:jc w:val="right"/>
      <w:rPr>
        <w:rFonts w:eastAsia="Calibri" w:cs="Arial"/>
        <w:b/>
        <w:color w:val="0054A1"/>
        <w:sz w:val="13"/>
        <w:szCs w:val="13"/>
        <w:bdr w:val="nil"/>
        <w:lang w:val="en-US" w:eastAsia="en-US"/>
      </w:rPr>
    </w:pPr>
    <w:r w:rsidRPr="00FF7457">
      <w:rPr>
        <w:rFonts w:eastAsia="Calibri" w:cs="Arial"/>
        <w:noProof/>
        <w:sz w:val="22"/>
        <w:szCs w:val="22"/>
        <w:bdr w:val="nil"/>
      </w:rPr>
      <w:drawing>
        <wp:anchor distT="0" distB="0" distL="114300" distR="114300" simplePos="0" relativeHeight="251659264" behindDoc="1" locked="0" layoutInCell="1" allowOverlap="1">
          <wp:simplePos x="0" y="0"/>
          <wp:positionH relativeFrom="page">
            <wp:align>left</wp:align>
          </wp:positionH>
          <wp:positionV relativeFrom="page">
            <wp:align>top</wp:align>
          </wp:positionV>
          <wp:extent cx="10692130" cy="1166495"/>
          <wp:effectExtent l="0" t="0" r="0" b="0"/>
          <wp:wrapNone/>
          <wp:docPr id="9576130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159166"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w:drawing>
        <wp:anchor distT="0" distB="0" distL="114300" distR="114300" simplePos="0" relativeHeight="251703296" behindDoc="1" locked="0" layoutInCell="1" allowOverlap="1">
          <wp:simplePos x="0" y="0"/>
          <wp:positionH relativeFrom="page">
            <wp:posOffset>0</wp:posOffset>
          </wp:positionH>
          <wp:positionV relativeFrom="page">
            <wp:posOffset>0</wp:posOffset>
          </wp:positionV>
          <wp:extent cx="10692000" cy="1170000"/>
          <wp:effectExtent l="0" t="0" r="0" b="0"/>
          <wp:wrapNone/>
          <wp:docPr id="133439421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544200"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mc:AlternateContent>
        <mc:Choice Requires="wpg">
          <w:drawing>
            <wp:anchor distT="0" distB="0" distL="114300" distR="114300" simplePos="0" relativeHeight="251719680"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47997184"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2138597723"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624067926"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Agrupar 9" o:spid="_x0000_s2064"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97824"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5" type="#_x0000_t75" style="width:21600;height:21600;position:absolute">
                <v:imagedata r:id="rId5" o:title=""/>
              </v:shape>
              <v:shape id="_x0000_s2066" type="#_x0000_t75" style="width:21600;height:21600;position:absolute" filled="f" stroked="f">
                <v:imagedata r:id="rId6" o:title=""/>
              </v:shap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CE2" w:rsidRDefault="00566CE2">
    <w:pPr>
      <w:spacing w:before="0" w:after="0" w:line="240" w:lineRule="auto"/>
      <w:jc w:val="left"/>
      <w:rPr>
        <w:rFonts w:ascii="Times New Roman" w:hAnsi="Times New Roman"/>
        <w:sz w:val="24"/>
        <w:szCs w:val="24"/>
        <w:lang w:val="en-US" w:eastAsia="en-U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566CE2" w:rsidTr="00BA6ED4">
      <w:tc>
        <w:tcPr>
          <w:tcW w:w="4889" w:type="dxa"/>
        </w:tcPr>
        <w:p w:rsidR="000277E6" w:rsidRPr="00270F2A" w:rsidRDefault="00A82039" w:rsidP="000277E6">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Ativos S.A.</w:t>
          </w:r>
        </w:p>
        <w:p w:rsidR="00133A06" w:rsidRDefault="00A82039" w:rsidP="000277E6">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Securitizadora de Créditos Financeiros</w:t>
          </w:r>
        </w:p>
      </w:tc>
      <w:tc>
        <w:tcPr>
          <w:tcW w:w="4890" w:type="dxa"/>
        </w:tcPr>
        <w:p w:rsidR="000277E6" w:rsidRPr="003036D7" w:rsidRDefault="00A82039" w:rsidP="000277E6">
          <w:pPr>
            <w:pBdr>
              <w:top w:val="nil"/>
              <w:left w:val="nil"/>
              <w:bottom w:val="nil"/>
              <w:right w:val="nil"/>
              <w:between w:val="nil"/>
              <w:bar w:val="nil"/>
            </w:pBdr>
            <w:tabs>
              <w:tab w:val="left" w:pos="708"/>
              <w:tab w:val="center" w:pos="4680"/>
              <w:tab w:val="right" w:pos="9360"/>
            </w:tabs>
            <w:jc w:val="right"/>
            <w:rPr>
              <w:b/>
              <w:color w:val="0054A1"/>
              <w:sz w:val="22"/>
              <w:szCs w:val="22"/>
              <w:bdr w:val="nil"/>
              <w:lang w:eastAsia="en-US"/>
            </w:rPr>
          </w:pPr>
          <w:r w:rsidRPr="003036D7">
            <w:rPr>
              <w:b/>
              <w:color w:val="0054A1"/>
              <w:sz w:val="22"/>
              <w:szCs w:val="22"/>
              <w:bdr w:val="nil"/>
              <w:lang w:eastAsia="en-US"/>
            </w:rPr>
            <w:t>Demonstrações Contábeis</w:t>
          </w:r>
        </w:p>
        <w:p w:rsidR="000277E6" w:rsidRPr="003036D7" w:rsidRDefault="00A82039" w:rsidP="000277E6">
          <w:pPr>
            <w:pBdr>
              <w:top w:val="nil"/>
              <w:left w:val="nil"/>
              <w:bottom w:val="nil"/>
              <w:right w:val="nil"/>
              <w:between w:val="nil"/>
              <w:bar w:val="nil"/>
            </w:pBdr>
            <w:tabs>
              <w:tab w:val="center" w:pos="4680"/>
              <w:tab w:val="right" w:pos="9355"/>
            </w:tabs>
            <w:jc w:val="right"/>
            <w:rPr>
              <w:b/>
              <w:color w:val="585151"/>
              <w:sz w:val="22"/>
              <w:szCs w:val="22"/>
              <w:bdr w:val="nil"/>
              <w:lang w:eastAsia="en-US"/>
            </w:rPr>
          </w:pPr>
          <w:r>
            <w:rPr>
              <w:b/>
              <w:color w:val="585151"/>
              <w:sz w:val="22"/>
              <w:szCs w:val="22"/>
              <w:bdr w:val="nil"/>
              <w:lang w:eastAsia="en-US"/>
            </w:rPr>
            <w:t>##D&lt;varTextoDataCabecalho&gt;</w:t>
          </w:r>
        </w:p>
        <w:p w:rsidR="000277E6" w:rsidRPr="00A46AE8" w:rsidRDefault="00A82039" w:rsidP="00BA6ED4">
          <w:pPr>
            <w:pBdr>
              <w:top w:val="nil"/>
              <w:left w:val="nil"/>
              <w:bottom w:val="nil"/>
              <w:right w:val="nil"/>
              <w:between w:val="nil"/>
              <w:bar w:val="nil"/>
            </w:pBdr>
            <w:tabs>
              <w:tab w:val="center" w:pos="4680"/>
              <w:tab w:val="right" w:pos="9360"/>
            </w:tabs>
            <w:spacing w:before="440" w:after="40"/>
            <w:jc w:val="right"/>
            <w:rPr>
              <w:b/>
              <w:color w:val="0054A1"/>
              <w:spacing w:val="-6"/>
              <w:sz w:val="24"/>
              <w:szCs w:val="24"/>
              <w:bdr w:val="nil"/>
              <w:lang w:eastAsia="en-US"/>
            </w:rPr>
          </w:pPr>
          <w:r w:rsidRPr="00A46AE8">
            <w:rPr>
              <w:b/>
              <w:color w:val="0054A1"/>
              <w:spacing w:val="-6"/>
              <w:sz w:val="13"/>
              <w:szCs w:val="13"/>
              <w:bdr w:val="nil"/>
              <w:lang w:eastAsia="en-US"/>
            </w:rPr>
            <w:t>Valores expressos em milhares de Reais, exceto quando indicado</w:t>
          </w:r>
        </w:p>
      </w:tc>
    </w:tr>
  </w:tbl>
  <w:p w:rsidR="00FF7457" w:rsidRPr="00FF7457" w:rsidRDefault="00A82039" w:rsidP="000277E6">
    <w:pPr>
      <w:pBdr>
        <w:top w:val="nil"/>
        <w:left w:val="nil"/>
        <w:bottom w:val="nil"/>
        <w:right w:val="nil"/>
        <w:between w:val="nil"/>
        <w:bar w:val="nil"/>
      </w:pBdr>
      <w:tabs>
        <w:tab w:val="left" w:pos="708"/>
        <w:tab w:val="center" w:pos="4680"/>
        <w:tab w:val="right" w:pos="9360"/>
      </w:tabs>
      <w:spacing w:after="0" w:line="240" w:lineRule="auto"/>
      <w:jc w:val="right"/>
      <w:rPr>
        <w:rFonts w:eastAsia="Calibri" w:cs="Arial"/>
        <w:b/>
        <w:color w:val="0054A1"/>
        <w:sz w:val="13"/>
        <w:szCs w:val="13"/>
        <w:bdr w:val="nil"/>
        <w:lang w:val="en-US" w:eastAsia="en-US"/>
      </w:rPr>
    </w:pPr>
    <w:r w:rsidRPr="00FF7457">
      <w:rPr>
        <w:rFonts w:eastAsia="Calibri" w:cs="Arial"/>
        <w:noProof/>
        <w:sz w:val="22"/>
        <w:szCs w:val="22"/>
        <w:bdr w:val="nil"/>
      </w:rPr>
      <w:drawing>
        <wp:anchor distT="0" distB="0" distL="114300" distR="114300" simplePos="0" relativeHeight="251666432" behindDoc="1" locked="0" layoutInCell="1" allowOverlap="1">
          <wp:simplePos x="0" y="0"/>
          <wp:positionH relativeFrom="page">
            <wp:align>left</wp:align>
          </wp:positionH>
          <wp:positionV relativeFrom="page">
            <wp:align>top</wp:align>
          </wp:positionV>
          <wp:extent cx="10692130" cy="1166495"/>
          <wp:effectExtent l="0" t="0" r="0" b="0"/>
          <wp:wrapNone/>
          <wp:docPr id="68330983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86950"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w:drawing>
        <wp:anchor distT="0" distB="0" distL="114300" distR="114300" simplePos="0" relativeHeight="251706368" behindDoc="1" locked="0" layoutInCell="1" allowOverlap="1">
          <wp:simplePos x="0" y="0"/>
          <wp:positionH relativeFrom="page">
            <wp:posOffset>0</wp:posOffset>
          </wp:positionH>
          <wp:positionV relativeFrom="page">
            <wp:posOffset>0</wp:posOffset>
          </wp:positionV>
          <wp:extent cx="10692000" cy="1170000"/>
          <wp:effectExtent l="0" t="0" r="0" b="0"/>
          <wp:wrapNone/>
          <wp:docPr id="123035523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168019"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mc:AlternateContent>
        <mc:Choice Requires="wpg">
          <w:drawing>
            <wp:anchor distT="0" distB="0" distL="114300" distR="114300" simplePos="0" relativeHeight="251727872"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1906069100"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209226102"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918772652"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Agrupar 9" o:spid="_x0000_s2069"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89632"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0" type="#_x0000_t75" style="width:21600;height:21600;position:absolute">
                <v:imagedata r:id="rId5" o:title=""/>
              </v:shape>
              <v:shape id="_x0000_s2071" type="#_x0000_t75" style="width:21600;height:21600;position:absolute" filled="f" stroked="f">
                <v:imagedata r:id="rId6" o:title=""/>
              </v:shap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4"/>
      <w:gridCol w:w="7286"/>
    </w:tblGrid>
    <w:tr w:rsidR="00566CE2" w:rsidTr="00BA6ED4">
      <w:tc>
        <w:tcPr>
          <w:tcW w:w="4889" w:type="dxa"/>
        </w:tcPr>
        <w:p w:rsidR="000277E6" w:rsidRPr="00270F2A" w:rsidRDefault="00A82039" w:rsidP="000277E6">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Ativos S.A.</w:t>
          </w:r>
        </w:p>
        <w:p w:rsidR="00133A06" w:rsidRDefault="00A82039" w:rsidP="000277E6">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Securitizadora de Créditos Financeiros</w:t>
          </w:r>
        </w:p>
      </w:tc>
      <w:tc>
        <w:tcPr>
          <w:tcW w:w="4890" w:type="dxa"/>
        </w:tcPr>
        <w:p w:rsidR="000277E6" w:rsidRPr="003036D7" w:rsidRDefault="00A82039" w:rsidP="000277E6">
          <w:pPr>
            <w:pBdr>
              <w:top w:val="nil"/>
              <w:left w:val="nil"/>
              <w:bottom w:val="nil"/>
              <w:right w:val="nil"/>
              <w:between w:val="nil"/>
              <w:bar w:val="nil"/>
            </w:pBdr>
            <w:tabs>
              <w:tab w:val="left" w:pos="708"/>
              <w:tab w:val="center" w:pos="4680"/>
              <w:tab w:val="right" w:pos="9360"/>
            </w:tabs>
            <w:jc w:val="right"/>
            <w:rPr>
              <w:b/>
              <w:color w:val="0054A1"/>
              <w:sz w:val="22"/>
              <w:szCs w:val="22"/>
              <w:bdr w:val="nil"/>
              <w:lang w:eastAsia="en-US"/>
            </w:rPr>
          </w:pPr>
          <w:r w:rsidRPr="003036D7">
            <w:rPr>
              <w:b/>
              <w:color w:val="0054A1"/>
              <w:sz w:val="22"/>
              <w:szCs w:val="22"/>
              <w:bdr w:val="nil"/>
              <w:lang w:eastAsia="en-US"/>
            </w:rPr>
            <w:t>Demonstrações Contábeis</w:t>
          </w:r>
        </w:p>
        <w:p w:rsidR="000277E6" w:rsidRPr="003036D7" w:rsidRDefault="00CF7952" w:rsidP="000277E6">
          <w:pPr>
            <w:pBdr>
              <w:top w:val="nil"/>
              <w:left w:val="nil"/>
              <w:bottom w:val="nil"/>
              <w:right w:val="nil"/>
              <w:between w:val="nil"/>
              <w:bar w:val="nil"/>
            </w:pBdr>
            <w:tabs>
              <w:tab w:val="center" w:pos="4680"/>
              <w:tab w:val="right" w:pos="9355"/>
            </w:tabs>
            <w:jc w:val="right"/>
            <w:rPr>
              <w:b/>
              <w:color w:val="585151"/>
              <w:sz w:val="22"/>
              <w:szCs w:val="22"/>
              <w:bdr w:val="nil"/>
              <w:lang w:eastAsia="en-US"/>
            </w:rPr>
          </w:pPr>
          <w:r w:rsidRPr="00CF7952">
            <w:rPr>
              <w:b/>
              <w:color w:val="585151"/>
              <w:sz w:val="22"/>
              <w:szCs w:val="22"/>
              <w:bdr w:val="nil"/>
              <w:lang w:eastAsia="en-US"/>
            </w:rPr>
            <w:t>Exercício encerrado em 31.12.2019</w:t>
          </w:r>
        </w:p>
        <w:p w:rsidR="000277E6" w:rsidRPr="00A46AE8" w:rsidRDefault="00A82039" w:rsidP="00BA6ED4">
          <w:pPr>
            <w:pBdr>
              <w:top w:val="nil"/>
              <w:left w:val="nil"/>
              <w:bottom w:val="nil"/>
              <w:right w:val="nil"/>
              <w:between w:val="nil"/>
              <w:bar w:val="nil"/>
            </w:pBdr>
            <w:tabs>
              <w:tab w:val="center" w:pos="4680"/>
              <w:tab w:val="right" w:pos="9360"/>
            </w:tabs>
            <w:spacing w:before="440" w:after="40"/>
            <w:jc w:val="right"/>
            <w:rPr>
              <w:b/>
              <w:color w:val="0054A1"/>
              <w:spacing w:val="-6"/>
              <w:sz w:val="24"/>
              <w:szCs w:val="24"/>
              <w:bdr w:val="nil"/>
              <w:lang w:eastAsia="en-US"/>
            </w:rPr>
          </w:pPr>
          <w:r w:rsidRPr="00A46AE8">
            <w:rPr>
              <w:b/>
              <w:color w:val="0054A1"/>
              <w:spacing w:val="-6"/>
              <w:sz w:val="13"/>
              <w:szCs w:val="13"/>
              <w:bdr w:val="nil"/>
              <w:lang w:eastAsia="en-US"/>
            </w:rPr>
            <w:t>Valores expressos em milhares de Reais, exceto quando indicado</w:t>
          </w:r>
        </w:p>
      </w:tc>
    </w:tr>
  </w:tbl>
  <w:p w:rsidR="00FF7457" w:rsidRPr="00FF7457" w:rsidRDefault="00A82039" w:rsidP="000277E6">
    <w:pPr>
      <w:pBdr>
        <w:top w:val="nil"/>
        <w:left w:val="nil"/>
        <w:bottom w:val="nil"/>
        <w:right w:val="nil"/>
        <w:between w:val="nil"/>
        <w:bar w:val="nil"/>
      </w:pBdr>
      <w:tabs>
        <w:tab w:val="left" w:pos="708"/>
        <w:tab w:val="center" w:pos="4680"/>
        <w:tab w:val="right" w:pos="9360"/>
      </w:tabs>
      <w:spacing w:after="0" w:line="240" w:lineRule="auto"/>
      <w:jc w:val="right"/>
      <w:rPr>
        <w:rFonts w:eastAsia="Calibri" w:cs="Arial"/>
        <w:b/>
        <w:color w:val="0054A1"/>
        <w:sz w:val="13"/>
        <w:szCs w:val="13"/>
        <w:bdr w:val="nil"/>
        <w:lang w:val="en-US" w:eastAsia="en-US"/>
      </w:rPr>
    </w:pPr>
    <w:r w:rsidRPr="00FF7457">
      <w:rPr>
        <w:rFonts w:eastAsia="Calibri" w:cs="Arial"/>
        <w:noProof/>
        <w:sz w:val="22"/>
        <w:szCs w:val="22"/>
        <w:bdr w:val="nil"/>
      </w:rPr>
      <w:drawing>
        <wp:anchor distT="0" distB="0" distL="114300" distR="114300" simplePos="0" relativeHeight="251665408" behindDoc="1" locked="0" layoutInCell="1" allowOverlap="1">
          <wp:simplePos x="0" y="0"/>
          <wp:positionH relativeFrom="page">
            <wp:align>left</wp:align>
          </wp:positionH>
          <wp:positionV relativeFrom="page">
            <wp:align>top</wp:align>
          </wp:positionV>
          <wp:extent cx="10692130" cy="1166495"/>
          <wp:effectExtent l="0" t="0" r="0" b="0"/>
          <wp:wrapNone/>
          <wp:docPr id="9032558"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43417"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w:drawing>
        <wp:anchor distT="0" distB="0" distL="114300" distR="114300" simplePos="0" relativeHeight="251705344" behindDoc="1" locked="0" layoutInCell="1" allowOverlap="1">
          <wp:simplePos x="0" y="0"/>
          <wp:positionH relativeFrom="page">
            <wp:posOffset>0</wp:posOffset>
          </wp:positionH>
          <wp:positionV relativeFrom="page">
            <wp:posOffset>0</wp:posOffset>
          </wp:positionV>
          <wp:extent cx="10692000" cy="1170000"/>
          <wp:effectExtent l="0" t="0" r="0" b="0"/>
          <wp:wrapNone/>
          <wp:docPr id="20696836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051164"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mc:AlternateContent>
        <mc:Choice Requires="wpg">
          <w:drawing>
            <wp:anchor distT="0" distB="0" distL="114300" distR="114300" simplePos="0" relativeHeight="251725824"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194307711"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461776927"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994206873"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Agrupar 9" o:spid="_x0000_s2072"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91680"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3" type="#_x0000_t75" style="width:21600;height:21600;position:absolute">
                <v:imagedata r:id="rId5" o:title=""/>
              </v:shape>
              <v:shape id="_x0000_s2074" type="#_x0000_t75" style="width:21600;height:21600;position:absolute" filled="f" stroked="f">
                <v:imagedata r:id="rId6" o:title=""/>
              </v:shap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CE2" w:rsidRDefault="00566CE2">
    <w:pPr>
      <w:spacing w:before="0" w:after="0" w:line="240" w:lineRule="auto"/>
      <w:jc w:val="left"/>
      <w:rPr>
        <w:rFonts w:ascii="Times New Roman" w:hAnsi="Times New Roman"/>
        <w:sz w:val="24"/>
        <w:szCs w:val="24"/>
        <w:lang w:val="en-US" w:eastAsia="en-U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566CE2" w:rsidTr="00BA6ED4">
      <w:tc>
        <w:tcPr>
          <w:tcW w:w="4889" w:type="dxa"/>
        </w:tcPr>
        <w:p w:rsidR="000277E6" w:rsidRPr="00270F2A" w:rsidRDefault="00A82039" w:rsidP="000277E6">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Ativos S.A.</w:t>
          </w:r>
        </w:p>
        <w:p w:rsidR="00133A06" w:rsidRDefault="00A82039" w:rsidP="000277E6">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Securitizadora de Créditos Financeiros</w:t>
          </w:r>
        </w:p>
      </w:tc>
      <w:tc>
        <w:tcPr>
          <w:tcW w:w="4890" w:type="dxa"/>
        </w:tcPr>
        <w:p w:rsidR="000277E6" w:rsidRPr="003036D7" w:rsidRDefault="00A82039" w:rsidP="000277E6">
          <w:pPr>
            <w:pBdr>
              <w:top w:val="nil"/>
              <w:left w:val="nil"/>
              <w:bottom w:val="nil"/>
              <w:right w:val="nil"/>
              <w:between w:val="nil"/>
              <w:bar w:val="nil"/>
            </w:pBdr>
            <w:tabs>
              <w:tab w:val="left" w:pos="708"/>
              <w:tab w:val="center" w:pos="4680"/>
              <w:tab w:val="right" w:pos="9360"/>
            </w:tabs>
            <w:jc w:val="right"/>
            <w:rPr>
              <w:b/>
              <w:color w:val="0054A1"/>
              <w:sz w:val="22"/>
              <w:szCs w:val="22"/>
              <w:bdr w:val="nil"/>
              <w:lang w:eastAsia="en-US"/>
            </w:rPr>
          </w:pPr>
          <w:r w:rsidRPr="003036D7">
            <w:rPr>
              <w:b/>
              <w:color w:val="0054A1"/>
              <w:sz w:val="22"/>
              <w:szCs w:val="22"/>
              <w:bdr w:val="nil"/>
              <w:lang w:eastAsia="en-US"/>
            </w:rPr>
            <w:t>Demonstrações Contábeis</w:t>
          </w:r>
        </w:p>
        <w:p w:rsidR="000277E6" w:rsidRPr="003036D7" w:rsidRDefault="00A82039" w:rsidP="000277E6">
          <w:pPr>
            <w:pBdr>
              <w:top w:val="nil"/>
              <w:left w:val="nil"/>
              <w:bottom w:val="nil"/>
              <w:right w:val="nil"/>
              <w:between w:val="nil"/>
              <w:bar w:val="nil"/>
            </w:pBdr>
            <w:tabs>
              <w:tab w:val="center" w:pos="4680"/>
              <w:tab w:val="right" w:pos="9355"/>
            </w:tabs>
            <w:jc w:val="right"/>
            <w:rPr>
              <w:b/>
              <w:color w:val="585151"/>
              <w:sz w:val="22"/>
              <w:szCs w:val="22"/>
              <w:bdr w:val="nil"/>
              <w:lang w:eastAsia="en-US"/>
            </w:rPr>
          </w:pPr>
          <w:r>
            <w:rPr>
              <w:b/>
              <w:color w:val="585151"/>
              <w:sz w:val="22"/>
              <w:szCs w:val="22"/>
              <w:bdr w:val="nil"/>
              <w:lang w:eastAsia="en-US"/>
            </w:rPr>
            <w:t>##D&lt;varTextoDataCabecalho&gt;</w:t>
          </w:r>
        </w:p>
        <w:p w:rsidR="000277E6" w:rsidRPr="00A46AE8" w:rsidRDefault="00A82039" w:rsidP="00BA6ED4">
          <w:pPr>
            <w:pBdr>
              <w:top w:val="nil"/>
              <w:left w:val="nil"/>
              <w:bottom w:val="nil"/>
              <w:right w:val="nil"/>
              <w:between w:val="nil"/>
              <w:bar w:val="nil"/>
            </w:pBdr>
            <w:tabs>
              <w:tab w:val="center" w:pos="4680"/>
              <w:tab w:val="right" w:pos="9360"/>
            </w:tabs>
            <w:spacing w:before="440" w:after="40"/>
            <w:jc w:val="right"/>
            <w:rPr>
              <w:b/>
              <w:color w:val="0054A1"/>
              <w:spacing w:val="-6"/>
              <w:sz w:val="24"/>
              <w:szCs w:val="24"/>
              <w:bdr w:val="nil"/>
              <w:lang w:eastAsia="en-US"/>
            </w:rPr>
          </w:pPr>
          <w:r w:rsidRPr="00A46AE8">
            <w:rPr>
              <w:b/>
              <w:color w:val="0054A1"/>
              <w:spacing w:val="-6"/>
              <w:sz w:val="13"/>
              <w:szCs w:val="13"/>
              <w:bdr w:val="nil"/>
              <w:lang w:eastAsia="en-US"/>
            </w:rPr>
            <w:t>Valores expressos em milhares de Reais, exceto quando indicado</w:t>
          </w:r>
        </w:p>
      </w:tc>
    </w:tr>
  </w:tbl>
  <w:p w:rsidR="00FF7457" w:rsidRPr="00FF7457" w:rsidRDefault="00A82039" w:rsidP="000277E6">
    <w:pPr>
      <w:pBdr>
        <w:top w:val="nil"/>
        <w:left w:val="nil"/>
        <w:bottom w:val="nil"/>
        <w:right w:val="nil"/>
        <w:between w:val="nil"/>
        <w:bar w:val="nil"/>
      </w:pBdr>
      <w:tabs>
        <w:tab w:val="left" w:pos="708"/>
        <w:tab w:val="center" w:pos="4680"/>
        <w:tab w:val="right" w:pos="9360"/>
      </w:tabs>
      <w:spacing w:after="0" w:line="240" w:lineRule="auto"/>
      <w:jc w:val="right"/>
      <w:rPr>
        <w:rFonts w:eastAsia="Calibri" w:cs="Arial"/>
        <w:b/>
        <w:color w:val="0054A1"/>
        <w:sz w:val="13"/>
        <w:szCs w:val="13"/>
        <w:bdr w:val="nil"/>
        <w:lang w:val="en-US" w:eastAsia="en-US"/>
      </w:rPr>
    </w:pPr>
    <w:r w:rsidRPr="00FF7457">
      <w:rPr>
        <w:rFonts w:eastAsia="Calibri" w:cs="Arial"/>
        <w:noProof/>
        <w:sz w:val="22"/>
        <w:szCs w:val="22"/>
        <w:bdr w:val="nil"/>
      </w:rPr>
      <w:drawing>
        <wp:anchor distT="0" distB="0" distL="114300" distR="114300" simplePos="0" relativeHeight="251672576" behindDoc="1" locked="0" layoutInCell="1" allowOverlap="1">
          <wp:simplePos x="0" y="0"/>
          <wp:positionH relativeFrom="page">
            <wp:align>left</wp:align>
          </wp:positionH>
          <wp:positionV relativeFrom="page">
            <wp:align>top</wp:align>
          </wp:positionV>
          <wp:extent cx="10692130" cy="1166495"/>
          <wp:effectExtent l="0" t="0" r="0" b="0"/>
          <wp:wrapNone/>
          <wp:docPr id="590564586"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79798"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w:drawing>
        <wp:anchor distT="0" distB="0" distL="114300" distR="114300" simplePos="0" relativeHeight="251708416" behindDoc="1" locked="0" layoutInCell="1" allowOverlap="1">
          <wp:simplePos x="0" y="0"/>
          <wp:positionH relativeFrom="page">
            <wp:posOffset>0</wp:posOffset>
          </wp:positionH>
          <wp:positionV relativeFrom="page">
            <wp:posOffset>0</wp:posOffset>
          </wp:positionV>
          <wp:extent cx="10692000" cy="1170000"/>
          <wp:effectExtent l="0" t="0" r="0" b="0"/>
          <wp:wrapNone/>
          <wp:docPr id="185458281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179245"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mc:AlternateContent>
        <mc:Choice Requires="wpg">
          <w:drawing>
            <wp:anchor distT="0" distB="0" distL="114300" distR="114300" simplePos="0" relativeHeight="251734016"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83790912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577247654"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204394965"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Agrupar 9" o:spid="_x0000_s2077"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83488"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8" type="#_x0000_t75" style="width:21600;height:21600;position:absolute">
                <v:imagedata r:id="rId5" o:title=""/>
              </v:shape>
              <v:shape id="_x0000_s2079" type="#_x0000_t75" style="width:21600;height:21600;position:absolute" filled="f" stroked="f">
                <v:imagedata r:id="rId6" o:title=""/>
              </v:shape>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566CE2" w:rsidTr="00BA6ED4">
      <w:tc>
        <w:tcPr>
          <w:tcW w:w="4889" w:type="dxa"/>
        </w:tcPr>
        <w:p w:rsidR="000277E6" w:rsidRPr="00270F2A" w:rsidRDefault="00A82039" w:rsidP="000277E6">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Ativos S.A.</w:t>
          </w:r>
        </w:p>
        <w:p w:rsidR="00133A06" w:rsidRDefault="00A82039" w:rsidP="000277E6">
          <w:pPr>
            <w:pBdr>
              <w:top w:val="nil"/>
              <w:left w:val="nil"/>
              <w:bottom w:val="nil"/>
              <w:right w:val="nil"/>
              <w:between w:val="nil"/>
              <w:bar w:val="nil"/>
            </w:pBdr>
            <w:tabs>
              <w:tab w:val="left" w:pos="708"/>
              <w:tab w:val="center" w:pos="4680"/>
              <w:tab w:val="right" w:pos="9360"/>
            </w:tabs>
            <w:jc w:val="left"/>
            <w:rPr>
              <w:b/>
              <w:color w:val="0054A1"/>
              <w:sz w:val="24"/>
              <w:szCs w:val="24"/>
              <w:bdr w:val="nil"/>
              <w:lang w:eastAsia="en-US"/>
            </w:rPr>
          </w:pPr>
          <w:r w:rsidRPr="00270F2A">
            <w:rPr>
              <w:b/>
              <w:color w:val="0054A1"/>
              <w:sz w:val="24"/>
              <w:szCs w:val="24"/>
              <w:bdr w:val="nil"/>
              <w:lang w:eastAsia="en-US"/>
            </w:rPr>
            <w:t>Securitizadora de Créditos Financeiros</w:t>
          </w:r>
        </w:p>
      </w:tc>
      <w:tc>
        <w:tcPr>
          <w:tcW w:w="4890" w:type="dxa"/>
        </w:tcPr>
        <w:p w:rsidR="000277E6" w:rsidRPr="003036D7" w:rsidRDefault="00A82039" w:rsidP="000277E6">
          <w:pPr>
            <w:pBdr>
              <w:top w:val="nil"/>
              <w:left w:val="nil"/>
              <w:bottom w:val="nil"/>
              <w:right w:val="nil"/>
              <w:between w:val="nil"/>
              <w:bar w:val="nil"/>
            </w:pBdr>
            <w:tabs>
              <w:tab w:val="left" w:pos="708"/>
              <w:tab w:val="center" w:pos="4680"/>
              <w:tab w:val="right" w:pos="9360"/>
            </w:tabs>
            <w:jc w:val="right"/>
            <w:rPr>
              <w:b/>
              <w:color w:val="0054A1"/>
              <w:sz w:val="22"/>
              <w:szCs w:val="22"/>
              <w:bdr w:val="nil"/>
              <w:lang w:eastAsia="en-US"/>
            </w:rPr>
          </w:pPr>
          <w:r w:rsidRPr="003036D7">
            <w:rPr>
              <w:b/>
              <w:color w:val="0054A1"/>
              <w:sz w:val="22"/>
              <w:szCs w:val="22"/>
              <w:bdr w:val="nil"/>
              <w:lang w:eastAsia="en-US"/>
            </w:rPr>
            <w:t>Demonstrações Contábeis</w:t>
          </w:r>
        </w:p>
        <w:p w:rsidR="000277E6" w:rsidRPr="003036D7" w:rsidRDefault="00CF7952" w:rsidP="000277E6">
          <w:pPr>
            <w:pBdr>
              <w:top w:val="nil"/>
              <w:left w:val="nil"/>
              <w:bottom w:val="nil"/>
              <w:right w:val="nil"/>
              <w:between w:val="nil"/>
              <w:bar w:val="nil"/>
            </w:pBdr>
            <w:tabs>
              <w:tab w:val="center" w:pos="4680"/>
              <w:tab w:val="right" w:pos="9355"/>
            </w:tabs>
            <w:jc w:val="right"/>
            <w:rPr>
              <w:b/>
              <w:color w:val="585151"/>
              <w:sz w:val="22"/>
              <w:szCs w:val="22"/>
              <w:bdr w:val="nil"/>
              <w:lang w:eastAsia="en-US"/>
            </w:rPr>
          </w:pPr>
          <w:r w:rsidRPr="00CF7952">
            <w:rPr>
              <w:b/>
              <w:color w:val="585151"/>
              <w:sz w:val="22"/>
              <w:szCs w:val="22"/>
              <w:bdr w:val="nil"/>
              <w:lang w:eastAsia="en-US"/>
            </w:rPr>
            <w:t>Exercício encerrado em 31.12.2019</w:t>
          </w:r>
        </w:p>
        <w:p w:rsidR="000277E6" w:rsidRPr="00A46AE8" w:rsidRDefault="00A82039" w:rsidP="00BA6ED4">
          <w:pPr>
            <w:pBdr>
              <w:top w:val="nil"/>
              <w:left w:val="nil"/>
              <w:bottom w:val="nil"/>
              <w:right w:val="nil"/>
              <w:between w:val="nil"/>
              <w:bar w:val="nil"/>
            </w:pBdr>
            <w:tabs>
              <w:tab w:val="center" w:pos="4680"/>
              <w:tab w:val="right" w:pos="9360"/>
            </w:tabs>
            <w:spacing w:before="440" w:after="40"/>
            <w:jc w:val="right"/>
            <w:rPr>
              <w:b/>
              <w:color w:val="0054A1"/>
              <w:spacing w:val="-6"/>
              <w:sz w:val="24"/>
              <w:szCs w:val="24"/>
              <w:bdr w:val="nil"/>
              <w:lang w:eastAsia="en-US"/>
            </w:rPr>
          </w:pPr>
          <w:r w:rsidRPr="00A46AE8">
            <w:rPr>
              <w:b/>
              <w:color w:val="0054A1"/>
              <w:spacing w:val="-6"/>
              <w:sz w:val="13"/>
              <w:szCs w:val="13"/>
              <w:bdr w:val="nil"/>
              <w:lang w:eastAsia="en-US"/>
            </w:rPr>
            <w:t>Valores expressos em milhares de Reais, exceto quando indicado</w:t>
          </w:r>
        </w:p>
      </w:tc>
    </w:tr>
  </w:tbl>
  <w:p w:rsidR="00FF7457" w:rsidRPr="00FF7457" w:rsidRDefault="00A82039" w:rsidP="000277E6">
    <w:pPr>
      <w:pBdr>
        <w:top w:val="nil"/>
        <w:left w:val="nil"/>
        <w:bottom w:val="nil"/>
        <w:right w:val="nil"/>
        <w:between w:val="nil"/>
        <w:bar w:val="nil"/>
      </w:pBdr>
      <w:tabs>
        <w:tab w:val="left" w:pos="708"/>
        <w:tab w:val="center" w:pos="4680"/>
        <w:tab w:val="right" w:pos="9360"/>
      </w:tabs>
      <w:spacing w:after="0" w:line="240" w:lineRule="auto"/>
      <w:jc w:val="right"/>
      <w:rPr>
        <w:rFonts w:eastAsia="Calibri" w:cs="Arial"/>
        <w:b/>
        <w:color w:val="0054A1"/>
        <w:sz w:val="13"/>
        <w:szCs w:val="13"/>
        <w:bdr w:val="nil"/>
        <w:lang w:val="en-US" w:eastAsia="en-US"/>
      </w:rPr>
    </w:pPr>
    <w:r w:rsidRPr="00FF7457">
      <w:rPr>
        <w:rFonts w:eastAsia="Calibri" w:cs="Arial"/>
        <w:noProof/>
        <w:sz w:val="22"/>
        <w:szCs w:val="22"/>
        <w:bdr w:val="nil"/>
      </w:rPr>
      <w:drawing>
        <wp:anchor distT="0" distB="0" distL="114300" distR="114300" simplePos="0" relativeHeight="251671552" behindDoc="1" locked="0" layoutInCell="1" allowOverlap="1">
          <wp:simplePos x="0" y="0"/>
          <wp:positionH relativeFrom="page">
            <wp:align>left</wp:align>
          </wp:positionH>
          <wp:positionV relativeFrom="page">
            <wp:align>top</wp:align>
          </wp:positionV>
          <wp:extent cx="10692130" cy="1166495"/>
          <wp:effectExtent l="0" t="0" r="0" b="0"/>
          <wp:wrapNone/>
          <wp:docPr id="1161320748"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565008"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w:drawing>
        <wp:anchor distT="0" distB="0" distL="114300" distR="114300" simplePos="0" relativeHeight="251707392" behindDoc="1" locked="0" layoutInCell="1" allowOverlap="1">
          <wp:simplePos x="0" y="0"/>
          <wp:positionH relativeFrom="page">
            <wp:posOffset>0</wp:posOffset>
          </wp:positionH>
          <wp:positionV relativeFrom="page">
            <wp:posOffset>0</wp:posOffset>
          </wp:positionV>
          <wp:extent cx="10692000" cy="1170000"/>
          <wp:effectExtent l="0" t="0" r="0" b="0"/>
          <wp:wrapNone/>
          <wp:docPr id="145480272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193203"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eastAsia="Calibri" w:cs="Arial"/>
        <w:noProof/>
        <w:sz w:val="22"/>
        <w:szCs w:val="22"/>
        <w:bdr w:val="nil"/>
      </w:rPr>
      <mc:AlternateContent>
        <mc:Choice Requires="wpg">
          <w:drawing>
            <wp:anchor distT="0" distB="0" distL="114300" distR="114300" simplePos="0" relativeHeight="251731968"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348753608"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268376027"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877407983"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Agrupar 9" o:spid="_x0000_s2080"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85536"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1" type="#_x0000_t75" style="width:21600;height:21600;position:absolute">
                <v:imagedata r:id="rId5" o:title=""/>
              </v:shape>
              <v:shape id="_x0000_s2082" type="#_x0000_t75" style="width:21600;height:21600;position:absolute" filled="f" stroked="f">
                <v:imagedata r:id="rId6" o:title=""/>
              </v:shape>
            </v:group>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CE2" w:rsidRDefault="00566CE2">
    <w:pPr>
      <w:spacing w:before="0" w:after="0" w:line="240" w:lineRule="auto"/>
      <w:jc w:val="left"/>
      <w:rPr>
        <w:rFonts w:ascii="Times New Roman" w:hAnsi="Times New Roman"/>
        <w:sz w:val="24"/>
        <w:szCs w:val="24"/>
        <w:lang w:val="en-US" w:eastAsia="en-US"/>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1"/>
      <w:gridCol w:w="4957"/>
    </w:tblGrid>
    <w:tr w:rsidR="00566CE2" w:rsidTr="00BD5BCF">
      <w:tc>
        <w:tcPr>
          <w:tcW w:w="4786" w:type="dxa"/>
        </w:tcPr>
        <w:p w:rsidR="00523543" w:rsidRPr="00523543" w:rsidRDefault="00A82039" w:rsidP="000277E6">
          <w:pPr>
            <w:pStyle w:val="Cabealho"/>
            <w:pBdr>
              <w:top w:val="nil"/>
              <w:left w:val="nil"/>
              <w:bottom w:val="nil"/>
              <w:right w:val="nil"/>
              <w:between w:val="nil"/>
              <w:bar w:val="nil"/>
            </w:pBdr>
            <w:tabs>
              <w:tab w:val="left" w:pos="708"/>
            </w:tabs>
            <w:spacing w:before="120"/>
            <w:rPr>
              <w:rFonts w:ascii="Arial" w:hAnsi="Arial" w:cs="Arial"/>
              <w:b/>
              <w:color w:val="0054A1"/>
              <w:spacing w:val="-6"/>
              <w:sz w:val="24"/>
              <w:szCs w:val="24"/>
              <w:bdr w:val="nil"/>
            </w:rPr>
          </w:pPr>
          <w:r w:rsidRPr="00523543">
            <w:rPr>
              <w:rFonts w:ascii="Arial" w:hAnsi="Arial" w:cs="Arial"/>
              <w:b/>
              <w:color w:val="0054A1"/>
              <w:spacing w:val="-6"/>
              <w:sz w:val="24"/>
              <w:szCs w:val="24"/>
              <w:bdr w:val="nil"/>
            </w:rPr>
            <w:t>Ativos S.A.</w:t>
          </w:r>
        </w:p>
        <w:p w:rsidR="00523543" w:rsidRPr="00523543" w:rsidRDefault="00A82039" w:rsidP="000277E6">
          <w:pPr>
            <w:pStyle w:val="Cabealho"/>
            <w:pBdr>
              <w:top w:val="nil"/>
              <w:left w:val="nil"/>
              <w:bottom w:val="nil"/>
              <w:right w:val="nil"/>
              <w:between w:val="nil"/>
              <w:bar w:val="nil"/>
            </w:pBdr>
            <w:tabs>
              <w:tab w:val="left" w:pos="708"/>
            </w:tabs>
            <w:spacing w:before="120"/>
            <w:rPr>
              <w:rFonts w:ascii="Arial" w:hAnsi="Arial" w:cs="Arial"/>
              <w:b/>
              <w:color w:val="0054A1"/>
              <w:spacing w:val="-6"/>
              <w:sz w:val="24"/>
              <w:szCs w:val="24"/>
              <w:bdr w:val="nil"/>
            </w:rPr>
          </w:pPr>
          <w:r w:rsidRPr="00523543">
            <w:rPr>
              <w:rFonts w:ascii="Arial" w:hAnsi="Arial" w:cs="Arial"/>
              <w:b/>
              <w:color w:val="0054A1"/>
              <w:spacing w:val="-6"/>
              <w:sz w:val="24"/>
              <w:szCs w:val="24"/>
              <w:bdr w:val="nil"/>
            </w:rPr>
            <w:t>Securitizadora de Créditos Financeiros</w:t>
          </w:r>
        </w:p>
      </w:tc>
      <w:tc>
        <w:tcPr>
          <w:tcW w:w="5069" w:type="dxa"/>
        </w:tcPr>
        <w:p w:rsidR="00523543" w:rsidRPr="00FF39DB" w:rsidRDefault="00A82039" w:rsidP="000277E6">
          <w:pPr>
            <w:pStyle w:val="Cabealho"/>
            <w:pBdr>
              <w:top w:val="nil"/>
              <w:left w:val="nil"/>
              <w:bottom w:val="nil"/>
              <w:right w:val="nil"/>
              <w:between w:val="nil"/>
              <w:bar w:val="nil"/>
            </w:pBdr>
            <w:tabs>
              <w:tab w:val="left" w:pos="708"/>
            </w:tabs>
            <w:spacing w:before="120"/>
            <w:jc w:val="right"/>
            <w:rPr>
              <w:rFonts w:ascii="Arial" w:hAnsi="Arial" w:cs="Arial"/>
              <w:b/>
              <w:color w:val="0054A1"/>
              <w:spacing w:val="-8"/>
              <w:bdr w:val="nil"/>
            </w:rPr>
          </w:pPr>
          <w:r w:rsidRPr="00FF39DB">
            <w:rPr>
              <w:rFonts w:ascii="Arial" w:hAnsi="Arial" w:cs="Arial"/>
              <w:b/>
              <w:color w:val="0054A1"/>
              <w:spacing w:val="-8"/>
              <w:bdr w:val="nil"/>
            </w:rPr>
            <w:t>Notas Explicativas às Demonstrações Contábeis</w:t>
          </w:r>
        </w:p>
        <w:p w:rsidR="00523543" w:rsidRPr="00FF39DB" w:rsidRDefault="00A82039" w:rsidP="000277E6">
          <w:pPr>
            <w:pStyle w:val="Cabealho"/>
            <w:pBdr>
              <w:top w:val="nil"/>
              <w:left w:val="nil"/>
              <w:bottom w:val="nil"/>
              <w:right w:val="nil"/>
              <w:between w:val="nil"/>
              <w:bar w:val="nil"/>
            </w:pBdr>
            <w:tabs>
              <w:tab w:val="right" w:pos="9355"/>
            </w:tabs>
            <w:spacing w:before="120"/>
            <w:jc w:val="right"/>
            <w:rPr>
              <w:rFonts w:ascii="Arial" w:hAnsi="Arial" w:cs="Arial"/>
              <w:b/>
              <w:color w:val="585151"/>
              <w:spacing w:val="-6"/>
              <w:bdr w:val="nil"/>
            </w:rPr>
          </w:pPr>
          <w:r w:rsidRPr="00FF39DB">
            <w:rPr>
              <w:rFonts w:ascii="Arial" w:hAnsi="Arial" w:cs="Arial"/>
              <w:b/>
              <w:color w:val="585151"/>
              <w:spacing w:val="-6"/>
              <w:bdr w:val="nil"/>
            </w:rPr>
            <w:t>Exercício encerrado em 31.12.2019</w:t>
          </w:r>
        </w:p>
        <w:p w:rsidR="00523543" w:rsidRPr="00523543" w:rsidRDefault="00A82039" w:rsidP="00BA6ED4">
          <w:pPr>
            <w:pStyle w:val="Cabealho"/>
            <w:pBdr>
              <w:top w:val="nil"/>
              <w:left w:val="nil"/>
              <w:bottom w:val="nil"/>
              <w:right w:val="nil"/>
              <w:between w:val="nil"/>
              <w:bar w:val="nil"/>
            </w:pBdr>
            <w:spacing w:before="440" w:after="40"/>
            <w:jc w:val="right"/>
            <w:rPr>
              <w:rFonts w:ascii="Arial" w:hAnsi="Arial" w:cs="Arial"/>
              <w:b/>
              <w:color w:val="0054A1"/>
              <w:spacing w:val="-6"/>
              <w:sz w:val="24"/>
              <w:szCs w:val="24"/>
              <w:bdr w:val="nil"/>
            </w:rPr>
          </w:pPr>
          <w:r w:rsidRPr="00523543">
            <w:rPr>
              <w:rFonts w:ascii="Arial" w:hAnsi="Arial" w:cs="Arial"/>
              <w:b/>
              <w:color w:val="0054A1"/>
              <w:spacing w:val="-6"/>
              <w:sz w:val="13"/>
              <w:szCs w:val="13"/>
              <w:bdr w:val="nil"/>
            </w:rPr>
            <w:t>Valores expressos em milhares de Reais, exceto quando indicado</w:t>
          </w:r>
        </w:p>
      </w:tc>
    </w:tr>
  </w:tbl>
  <w:p w:rsidR="00FF7457" w:rsidRPr="00FF7457" w:rsidRDefault="00A82039" w:rsidP="000277E6">
    <w:pPr>
      <w:pStyle w:val="Cabealho"/>
      <w:pBdr>
        <w:top w:val="nil"/>
        <w:left w:val="nil"/>
        <w:bottom w:val="nil"/>
        <w:right w:val="nil"/>
        <w:between w:val="nil"/>
        <w:bar w:val="nil"/>
      </w:pBdr>
      <w:tabs>
        <w:tab w:val="left" w:pos="708"/>
      </w:tabs>
      <w:spacing w:before="120"/>
      <w:jc w:val="right"/>
      <w:rPr>
        <w:rFonts w:ascii="Arial" w:hAnsi="Arial" w:cs="Arial"/>
        <w:b/>
        <w:color w:val="0054A1"/>
        <w:sz w:val="13"/>
        <w:szCs w:val="13"/>
        <w:bdr w:val="nil"/>
        <w:lang w:val="en-US"/>
      </w:rPr>
    </w:pPr>
    <w:r w:rsidRPr="00FF7457">
      <w:rPr>
        <w:rFonts w:ascii="Arial" w:hAnsi="Arial" w:cs="Arial"/>
        <w:noProof/>
        <w:bdr w:val="nil"/>
        <w:lang w:eastAsia="pt-BR"/>
      </w:rPr>
      <w:drawing>
        <wp:anchor distT="0" distB="0" distL="114300" distR="114300" simplePos="0" relativeHeight="251678720" behindDoc="1" locked="0" layoutInCell="1" allowOverlap="1">
          <wp:simplePos x="0" y="0"/>
          <wp:positionH relativeFrom="page">
            <wp:align>left</wp:align>
          </wp:positionH>
          <wp:positionV relativeFrom="page">
            <wp:align>top</wp:align>
          </wp:positionV>
          <wp:extent cx="10692130" cy="1166495"/>
          <wp:effectExtent l="0" t="0" r="0" b="0"/>
          <wp:wrapNone/>
          <wp:docPr id="100347787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056323"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w:drawing>
        <wp:anchor distT="0" distB="0" distL="114300" distR="114300" simplePos="0" relativeHeight="251710464" behindDoc="1" locked="0" layoutInCell="1" allowOverlap="1">
          <wp:simplePos x="0" y="0"/>
          <wp:positionH relativeFrom="page">
            <wp:posOffset>0</wp:posOffset>
          </wp:positionH>
          <wp:positionV relativeFrom="page">
            <wp:posOffset>0</wp:posOffset>
          </wp:positionV>
          <wp:extent cx="10692000" cy="1170000"/>
          <wp:effectExtent l="0" t="0" r="0" b="0"/>
          <wp:wrapNone/>
          <wp:docPr id="197647433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911316"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mc:AlternateContent>
        <mc:Choice Requires="wpg">
          <w:drawing>
            <wp:anchor distT="0" distB="0" distL="114300" distR="114300" simplePos="0" relativeHeight="251740160"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594386967"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687056572"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751147779"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Agrupar 9" o:spid="_x0000_s2085"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77344"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6" type="#_x0000_t75" style="width:21600;height:21600;position:absolute">
                <v:imagedata r:id="rId5" o:title=""/>
              </v:shape>
              <v:shape id="_x0000_s2087" type="#_x0000_t75" style="width:21600;height:21600;position:absolute" filled="f" stroked="f">
                <v:imagedata r:id="rId6" o:title=""/>
              </v:shape>
            </v:group>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4955"/>
    </w:tblGrid>
    <w:tr w:rsidR="00566CE2" w:rsidTr="00BD5BCF">
      <w:tc>
        <w:tcPr>
          <w:tcW w:w="4786" w:type="dxa"/>
        </w:tcPr>
        <w:p w:rsidR="00523543" w:rsidRPr="00523543" w:rsidRDefault="00A82039" w:rsidP="000277E6">
          <w:pPr>
            <w:pStyle w:val="Cabealho"/>
            <w:pBdr>
              <w:top w:val="nil"/>
              <w:left w:val="nil"/>
              <w:bottom w:val="nil"/>
              <w:right w:val="nil"/>
              <w:between w:val="nil"/>
              <w:bar w:val="nil"/>
            </w:pBdr>
            <w:tabs>
              <w:tab w:val="left" w:pos="708"/>
            </w:tabs>
            <w:spacing w:before="120"/>
            <w:rPr>
              <w:rFonts w:ascii="Arial" w:hAnsi="Arial" w:cs="Arial"/>
              <w:b/>
              <w:color w:val="0054A1"/>
              <w:spacing w:val="-6"/>
              <w:sz w:val="24"/>
              <w:szCs w:val="24"/>
              <w:bdr w:val="nil"/>
            </w:rPr>
          </w:pPr>
          <w:r w:rsidRPr="00523543">
            <w:rPr>
              <w:rFonts w:ascii="Arial" w:hAnsi="Arial" w:cs="Arial"/>
              <w:b/>
              <w:color w:val="0054A1"/>
              <w:spacing w:val="-6"/>
              <w:sz w:val="24"/>
              <w:szCs w:val="24"/>
              <w:bdr w:val="nil"/>
            </w:rPr>
            <w:t>Ativos S.A.</w:t>
          </w:r>
        </w:p>
        <w:p w:rsidR="00523543" w:rsidRPr="00523543" w:rsidRDefault="00A82039" w:rsidP="000277E6">
          <w:pPr>
            <w:pStyle w:val="Cabealho"/>
            <w:pBdr>
              <w:top w:val="nil"/>
              <w:left w:val="nil"/>
              <w:bottom w:val="nil"/>
              <w:right w:val="nil"/>
              <w:between w:val="nil"/>
              <w:bar w:val="nil"/>
            </w:pBdr>
            <w:tabs>
              <w:tab w:val="left" w:pos="708"/>
            </w:tabs>
            <w:spacing w:before="120"/>
            <w:rPr>
              <w:rFonts w:ascii="Arial" w:hAnsi="Arial" w:cs="Arial"/>
              <w:b/>
              <w:color w:val="0054A1"/>
              <w:spacing w:val="-6"/>
              <w:sz w:val="24"/>
              <w:szCs w:val="24"/>
              <w:bdr w:val="nil"/>
            </w:rPr>
          </w:pPr>
          <w:r w:rsidRPr="00523543">
            <w:rPr>
              <w:rFonts w:ascii="Arial" w:hAnsi="Arial" w:cs="Arial"/>
              <w:b/>
              <w:color w:val="0054A1"/>
              <w:spacing w:val="-6"/>
              <w:sz w:val="24"/>
              <w:szCs w:val="24"/>
              <w:bdr w:val="nil"/>
            </w:rPr>
            <w:t>Securitizadora de Créditos Financeiros</w:t>
          </w:r>
        </w:p>
      </w:tc>
      <w:tc>
        <w:tcPr>
          <w:tcW w:w="5069" w:type="dxa"/>
        </w:tcPr>
        <w:p w:rsidR="00523543" w:rsidRPr="00FF39DB" w:rsidRDefault="00A82039" w:rsidP="000277E6">
          <w:pPr>
            <w:pStyle w:val="Cabealho"/>
            <w:pBdr>
              <w:top w:val="nil"/>
              <w:left w:val="nil"/>
              <w:bottom w:val="nil"/>
              <w:right w:val="nil"/>
              <w:between w:val="nil"/>
              <w:bar w:val="nil"/>
            </w:pBdr>
            <w:tabs>
              <w:tab w:val="left" w:pos="708"/>
            </w:tabs>
            <w:spacing w:before="120"/>
            <w:jc w:val="right"/>
            <w:rPr>
              <w:rFonts w:ascii="Arial" w:hAnsi="Arial" w:cs="Arial"/>
              <w:b/>
              <w:color w:val="0054A1"/>
              <w:spacing w:val="-8"/>
              <w:bdr w:val="nil"/>
            </w:rPr>
          </w:pPr>
          <w:r w:rsidRPr="00FF39DB">
            <w:rPr>
              <w:rFonts w:ascii="Arial" w:hAnsi="Arial" w:cs="Arial"/>
              <w:b/>
              <w:color w:val="0054A1"/>
              <w:spacing w:val="-8"/>
              <w:bdr w:val="nil"/>
            </w:rPr>
            <w:t>Notas Explicativas às Demonstrações Contábeis</w:t>
          </w:r>
        </w:p>
        <w:p w:rsidR="00523543" w:rsidRPr="00FF39DB" w:rsidRDefault="00A82039" w:rsidP="000277E6">
          <w:pPr>
            <w:pStyle w:val="Cabealho"/>
            <w:pBdr>
              <w:top w:val="nil"/>
              <w:left w:val="nil"/>
              <w:bottom w:val="nil"/>
              <w:right w:val="nil"/>
              <w:between w:val="nil"/>
              <w:bar w:val="nil"/>
            </w:pBdr>
            <w:tabs>
              <w:tab w:val="right" w:pos="9355"/>
            </w:tabs>
            <w:spacing w:before="120"/>
            <w:jc w:val="right"/>
            <w:rPr>
              <w:rFonts w:ascii="Arial" w:hAnsi="Arial" w:cs="Arial"/>
              <w:b/>
              <w:color w:val="585151"/>
              <w:spacing w:val="-6"/>
              <w:bdr w:val="nil"/>
            </w:rPr>
          </w:pPr>
          <w:r w:rsidRPr="00FF39DB">
            <w:rPr>
              <w:rFonts w:ascii="Arial" w:hAnsi="Arial" w:cs="Arial"/>
              <w:b/>
              <w:color w:val="585151"/>
              <w:spacing w:val="-6"/>
              <w:bdr w:val="nil"/>
            </w:rPr>
            <w:t>Exercício encerrado em 31.12.2019</w:t>
          </w:r>
        </w:p>
        <w:p w:rsidR="00523543" w:rsidRPr="00523543" w:rsidRDefault="00A82039" w:rsidP="00BA6ED4">
          <w:pPr>
            <w:pStyle w:val="Cabealho"/>
            <w:pBdr>
              <w:top w:val="nil"/>
              <w:left w:val="nil"/>
              <w:bottom w:val="nil"/>
              <w:right w:val="nil"/>
              <w:between w:val="nil"/>
              <w:bar w:val="nil"/>
            </w:pBdr>
            <w:spacing w:before="440" w:after="40"/>
            <w:jc w:val="right"/>
            <w:rPr>
              <w:rFonts w:ascii="Arial" w:hAnsi="Arial" w:cs="Arial"/>
              <w:b/>
              <w:color w:val="0054A1"/>
              <w:spacing w:val="-6"/>
              <w:sz w:val="24"/>
              <w:szCs w:val="24"/>
              <w:bdr w:val="nil"/>
            </w:rPr>
          </w:pPr>
          <w:r w:rsidRPr="00523543">
            <w:rPr>
              <w:rFonts w:ascii="Arial" w:hAnsi="Arial" w:cs="Arial"/>
              <w:b/>
              <w:color w:val="0054A1"/>
              <w:spacing w:val="-6"/>
              <w:sz w:val="13"/>
              <w:szCs w:val="13"/>
              <w:bdr w:val="nil"/>
            </w:rPr>
            <w:t>Valores expressos em milhares de Reais, exceto quando indicado</w:t>
          </w:r>
        </w:p>
      </w:tc>
    </w:tr>
  </w:tbl>
  <w:p w:rsidR="00FF7457" w:rsidRPr="00FF7457" w:rsidRDefault="00A82039" w:rsidP="000277E6">
    <w:pPr>
      <w:pStyle w:val="Cabealho"/>
      <w:pBdr>
        <w:top w:val="nil"/>
        <w:left w:val="nil"/>
        <w:bottom w:val="nil"/>
        <w:right w:val="nil"/>
        <w:between w:val="nil"/>
        <w:bar w:val="nil"/>
      </w:pBdr>
      <w:tabs>
        <w:tab w:val="left" w:pos="708"/>
      </w:tabs>
      <w:spacing w:before="120"/>
      <w:jc w:val="right"/>
      <w:rPr>
        <w:rFonts w:ascii="Arial" w:hAnsi="Arial" w:cs="Arial"/>
        <w:b/>
        <w:color w:val="0054A1"/>
        <w:sz w:val="13"/>
        <w:szCs w:val="13"/>
        <w:bdr w:val="nil"/>
        <w:lang w:val="en-US"/>
      </w:rPr>
    </w:pPr>
    <w:r w:rsidRPr="00FF7457">
      <w:rPr>
        <w:rFonts w:ascii="Arial" w:hAnsi="Arial" w:cs="Arial"/>
        <w:noProof/>
        <w:bdr w:val="nil"/>
        <w:lang w:eastAsia="pt-BR"/>
      </w:rPr>
      <w:drawing>
        <wp:anchor distT="0" distB="0" distL="114300" distR="114300" simplePos="0" relativeHeight="251677696" behindDoc="1" locked="0" layoutInCell="1" allowOverlap="1">
          <wp:simplePos x="0" y="0"/>
          <wp:positionH relativeFrom="page">
            <wp:align>left</wp:align>
          </wp:positionH>
          <wp:positionV relativeFrom="page">
            <wp:align>top</wp:align>
          </wp:positionV>
          <wp:extent cx="10692130" cy="1166495"/>
          <wp:effectExtent l="0" t="0" r="0" b="0"/>
          <wp:wrapNone/>
          <wp:docPr id="1120576641"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722092"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w:drawing>
        <wp:anchor distT="0" distB="0" distL="114300" distR="114300" simplePos="0" relativeHeight="251709440" behindDoc="1" locked="0" layoutInCell="1" allowOverlap="1">
          <wp:simplePos x="0" y="0"/>
          <wp:positionH relativeFrom="page">
            <wp:posOffset>0</wp:posOffset>
          </wp:positionH>
          <wp:positionV relativeFrom="page">
            <wp:posOffset>0</wp:posOffset>
          </wp:positionV>
          <wp:extent cx="10692000" cy="1170000"/>
          <wp:effectExtent l="0" t="0" r="0" b="0"/>
          <wp:wrapNone/>
          <wp:docPr id="63249969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911225"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mc:AlternateContent>
        <mc:Choice Requires="wpg">
          <w:drawing>
            <wp:anchor distT="0" distB="0" distL="114300" distR="114300" simplePos="0" relativeHeight="251738112"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151040733"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389443843"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195315032"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Agrupar 9" o:spid="_x0000_s2088"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79392"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9" type="#_x0000_t75" style="width:21600;height:21600;position:absolute">
                <v:imagedata r:id="rId5" o:title=""/>
              </v:shape>
              <v:shape id="_x0000_s2090" type="#_x0000_t75" style="width:21600;height:21600;position:absolute" filled="f" stroked="f">
                <v:imagedata r:id="rId6" o:title=""/>
              </v:shape>
            </v:group>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CE2" w:rsidRDefault="00566CE2">
    <w:pPr>
      <w:pBdr>
        <w:top w:val="nil"/>
        <w:left w:val="nil"/>
        <w:bottom w:val="nil"/>
        <w:right w:val="nil"/>
        <w:between w:val="nil"/>
        <w:bar w:val="nil"/>
      </w:pBdr>
      <w:spacing w:before="0" w:after="0" w:line="240" w:lineRule="auto"/>
      <w:jc w:val="left"/>
      <w:rPr>
        <w:bdr w:val="nil"/>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566CE2" w:rsidTr="00BA6ED4">
      <w:tc>
        <w:tcPr>
          <w:tcW w:w="4889" w:type="dxa"/>
        </w:tcPr>
        <w:p w:rsidR="000277E6" w:rsidRPr="00270F2A" w:rsidRDefault="00A82039" w:rsidP="000277E6">
          <w:pPr>
            <w:pStyle w:val="Cabealho"/>
            <w:pBdr>
              <w:top w:val="nil"/>
              <w:left w:val="nil"/>
              <w:bottom w:val="nil"/>
              <w:right w:val="nil"/>
              <w:between w:val="nil"/>
              <w:bar w:val="nil"/>
            </w:pBdr>
            <w:tabs>
              <w:tab w:val="left" w:pos="708"/>
            </w:tabs>
            <w:spacing w:before="120"/>
            <w:rPr>
              <w:rFonts w:ascii="Arial" w:hAnsi="Arial" w:cs="Arial"/>
              <w:b/>
              <w:color w:val="0054A1"/>
              <w:sz w:val="24"/>
              <w:szCs w:val="24"/>
              <w:bdr w:val="nil"/>
            </w:rPr>
          </w:pPr>
          <w:r w:rsidRPr="00270F2A">
            <w:rPr>
              <w:rFonts w:ascii="Arial" w:hAnsi="Arial" w:cs="Arial"/>
              <w:b/>
              <w:color w:val="0054A1"/>
              <w:sz w:val="24"/>
              <w:szCs w:val="24"/>
              <w:bdr w:val="nil"/>
            </w:rPr>
            <w:t>Ativos S.A.</w:t>
          </w:r>
        </w:p>
        <w:p w:rsidR="00133A06" w:rsidRDefault="00A82039" w:rsidP="000277E6">
          <w:pPr>
            <w:pStyle w:val="Cabealho"/>
            <w:pBdr>
              <w:top w:val="nil"/>
              <w:left w:val="nil"/>
              <w:bottom w:val="nil"/>
              <w:right w:val="nil"/>
              <w:between w:val="nil"/>
              <w:bar w:val="nil"/>
            </w:pBdr>
            <w:tabs>
              <w:tab w:val="left" w:pos="708"/>
            </w:tabs>
            <w:spacing w:before="120"/>
            <w:rPr>
              <w:rFonts w:ascii="Arial" w:hAnsi="Arial" w:cs="Arial"/>
              <w:b/>
              <w:color w:val="0054A1"/>
              <w:sz w:val="24"/>
              <w:szCs w:val="24"/>
              <w:bdr w:val="nil"/>
            </w:rPr>
          </w:pPr>
          <w:r w:rsidRPr="00270F2A">
            <w:rPr>
              <w:rFonts w:ascii="Arial" w:hAnsi="Arial" w:cs="Arial"/>
              <w:b/>
              <w:color w:val="0054A1"/>
              <w:sz w:val="24"/>
              <w:szCs w:val="24"/>
              <w:bdr w:val="nil"/>
            </w:rPr>
            <w:t>Securitizadora de Créditos Financeiros</w:t>
          </w:r>
        </w:p>
      </w:tc>
      <w:tc>
        <w:tcPr>
          <w:tcW w:w="4890" w:type="dxa"/>
        </w:tcPr>
        <w:p w:rsidR="000C4A36" w:rsidRDefault="00A82039" w:rsidP="000277E6">
          <w:pPr>
            <w:pStyle w:val="Cabealho"/>
            <w:pBdr>
              <w:top w:val="nil"/>
              <w:left w:val="nil"/>
              <w:bottom w:val="nil"/>
              <w:right w:val="nil"/>
              <w:between w:val="nil"/>
              <w:bar w:val="nil"/>
            </w:pBdr>
            <w:tabs>
              <w:tab w:val="left" w:pos="708"/>
            </w:tabs>
            <w:spacing w:before="120"/>
            <w:jc w:val="right"/>
            <w:rPr>
              <w:rFonts w:ascii="Arial" w:hAnsi="Arial" w:cs="Arial"/>
              <w:b/>
              <w:color w:val="0054A1"/>
              <w:bdr w:val="nil"/>
            </w:rPr>
          </w:pPr>
          <w:r>
            <w:rPr>
              <w:rFonts w:ascii="Arial" w:hAnsi="Arial" w:cs="Arial"/>
              <w:b/>
              <w:color w:val="0054A1"/>
              <w:bdr w:val="nil"/>
            </w:rPr>
            <w:t>Relatório</w:t>
          </w:r>
          <w:r w:rsidRPr="000C4A36">
            <w:rPr>
              <w:rFonts w:ascii="Arial" w:hAnsi="Arial" w:cs="Arial"/>
              <w:b/>
              <w:color w:val="0054A1"/>
              <w:bdr w:val="nil"/>
            </w:rPr>
            <w:t xml:space="preserve"> dos auditores independentes sobre as demonstrações contábeis</w:t>
          </w:r>
        </w:p>
        <w:p w:rsidR="000277E6" w:rsidRPr="00620AB0" w:rsidRDefault="00A82039" w:rsidP="000277E6">
          <w:pPr>
            <w:pStyle w:val="Cabealho"/>
            <w:pBdr>
              <w:top w:val="nil"/>
              <w:left w:val="nil"/>
              <w:bottom w:val="nil"/>
              <w:right w:val="nil"/>
              <w:between w:val="nil"/>
              <w:bar w:val="nil"/>
            </w:pBdr>
            <w:tabs>
              <w:tab w:val="right" w:pos="9355"/>
            </w:tabs>
            <w:spacing w:before="120"/>
            <w:jc w:val="right"/>
            <w:rPr>
              <w:rFonts w:ascii="Arial" w:hAnsi="Arial" w:cs="Arial"/>
              <w:b/>
              <w:color w:val="585151"/>
              <w:bdr w:val="nil"/>
            </w:rPr>
          </w:pPr>
          <w:r w:rsidRPr="00620AB0">
            <w:rPr>
              <w:rFonts w:ascii="Arial" w:hAnsi="Arial" w:cs="Arial"/>
              <w:b/>
              <w:color w:val="585151"/>
              <w:bdr w:val="nil"/>
            </w:rPr>
            <w:t>Exercício encerrado em 31.12.2019</w:t>
          </w:r>
        </w:p>
        <w:p w:rsidR="000277E6" w:rsidRDefault="000277E6" w:rsidP="000C4A36">
          <w:pPr>
            <w:pStyle w:val="Cabealho"/>
            <w:spacing w:before="80"/>
            <w:jc w:val="right"/>
            <w:rPr>
              <w:rFonts w:ascii="Arial" w:hAnsi="Arial" w:cs="Arial"/>
              <w:b/>
              <w:color w:val="0054A1"/>
              <w:sz w:val="24"/>
              <w:szCs w:val="24"/>
              <w:bdr w:val="nil"/>
            </w:rPr>
          </w:pPr>
        </w:p>
      </w:tc>
    </w:tr>
  </w:tbl>
  <w:p w:rsidR="00FF7457" w:rsidRPr="00FF7457" w:rsidRDefault="00A82039" w:rsidP="000277E6">
    <w:pPr>
      <w:pStyle w:val="Cabealho"/>
      <w:pBdr>
        <w:top w:val="nil"/>
        <w:left w:val="nil"/>
        <w:bottom w:val="nil"/>
        <w:right w:val="nil"/>
        <w:between w:val="nil"/>
        <w:bar w:val="nil"/>
      </w:pBdr>
      <w:tabs>
        <w:tab w:val="left" w:pos="708"/>
      </w:tabs>
      <w:spacing w:before="120"/>
      <w:jc w:val="right"/>
      <w:rPr>
        <w:rFonts w:ascii="Arial" w:hAnsi="Arial" w:cs="Arial"/>
        <w:b/>
        <w:color w:val="0054A1"/>
        <w:sz w:val="13"/>
        <w:szCs w:val="13"/>
        <w:bdr w:val="nil"/>
        <w:lang w:val="en-US"/>
      </w:rPr>
    </w:pPr>
    <w:r w:rsidRPr="00FF7457">
      <w:rPr>
        <w:rFonts w:ascii="Arial" w:hAnsi="Arial" w:cs="Arial"/>
        <w:noProof/>
        <w:bdr w:val="nil"/>
        <w:lang w:eastAsia="pt-BR"/>
      </w:rPr>
      <w:drawing>
        <wp:anchor distT="0" distB="0" distL="114300" distR="114300" simplePos="0" relativeHeight="251684864" behindDoc="1" locked="0" layoutInCell="1" allowOverlap="1">
          <wp:simplePos x="0" y="0"/>
          <wp:positionH relativeFrom="page">
            <wp:align>left</wp:align>
          </wp:positionH>
          <wp:positionV relativeFrom="page">
            <wp:align>top</wp:align>
          </wp:positionV>
          <wp:extent cx="10692130" cy="1166495"/>
          <wp:effectExtent l="0" t="0" r="0" b="0"/>
          <wp:wrapNone/>
          <wp:docPr id="1030123858"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115912"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w:drawing>
        <wp:anchor distT="0" distB="0" distL="114300" distR="114300" simplePos="0" relativeHeight="251712512" behindDoc="1" locked="0" layoutInCell="1" allowOverlap="1">
          <wp:simplePos x="0" y="0"/>
          <wp:positionH relativeFrom="page">
            <wp:posOffset>0</wp:posOffset>
          </wp:positionH>
          <wp:positionV relativeFrom="page">
            <wp:posOffset>0</wp:posOffset>
          </wp:positionV>
          <wp:extent cx="10692000" cy="1170000"/>
          <wp:effectExtent l="0" t="0" r="0" b="0"/>
          <wp:wrapNone/>
          <wp:docPr id="25072605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006828"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mc:AlternateContent>
        <mc:Choice Requires="wpg">
          <w:drawing>
            <wp:anchor distT="0" distB="0" distL="114300" distR="114300" simplePos="0" relativeHeight="251746304"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176791949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154937320"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457137786"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Agrupar 9" o:spid="_x0000_s2093"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71200"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4" type="#_x0000_t75" style="width:21600;height:21600;position:absolute">
                <v:imagedata r:id="rId5" o:title=""/>
              </v:shape>
              <v:shape id="_x0000_s2095" type="#_x0000_t75" style="width:21600;height:21600;position:absolute" filled="f" stroked="f">
                <v:imagedata r:id="rId6" o:title=""/>
              </v:shape>
            </v:group>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566CE2" w:rsidTr="00BA6ED4">
      <w:tc>
        <w:tcPr>
          <w:tcW w:w="4889" w:type="dxa"/>
        </w:tcPr>
        <w:p w:rsidR="000277E6" w:rsidRPr="00270F2A" w:rsidRDefault="00A82039" w:rsidP="000277E6">
          <w:pPr>
            <w:pStyle w:val="Cabealho"/>
            <w:pBdr>
              <w:top w:val="nil"/>
              <w:left w:val="nil"/>
              <w:bottom w:val="nil"/>
              <w:right w:val="nil"/>
              <w:between w:val="nil"/>
              <w:bar w:val="nil"/>
            </w:pBdr>
            <w:tabs>
              <w:tab w:val="left" w:pos="708"/>
            </w:tabs>
            <w:spacing w:before="120"/>
            <w:rPr>
              <w:rFonts w:ascii="Arial" w:hAnsi="Arial" w:cs="Arial"/>
              <w:b/>
              <w:color w:val="0054A1"/>
              <w:sz w:val="24"/>
              <w:szCs w:val="24"/>
              <w:bdr w:val="nil"/>
            </w:rPr>
          </w:pPr>
          <w:r w:rsidRPr="00270F2A">
            <w:rPr>
              <w:rFonts w:ascii="Arial" w:hAnsi="Arial" w:cs="Arial"/>
              <w:b/>
              <w:color w:val="0054A1"/>
              <w:sz w:val="24"/>
              <w:szCs w:val="24"/>
              <w:bdr w:val="nil"/>
            </w:rPr>
            <w:t>Ativos S.A.</w:t>
          </w:r>
        </w:p>
        <w:p w:rsidR="00133A06" w:rsidRDefault="00A82039" w:rsidP="000277E6">
          <w:pPr>
            <w:pStyle w:val="Cabealho"/>
            <w:pBdr>
              <w:top w:val="nil"/>
              <w:left w:val="nil"/>
              <w:bottom w:val="nil"/>
              <w:right w:val="nil"/>
              <w:between w:val="nil"/>
              <w:bar w:val="nil"/>
            </w:pBdr>
            <w:tabs>
              <w:tab w:val="left" w:pos="708"/>
            </w:tabs>
            <w:spacing w:before="120"/>
            <w:rPr>
              <w:rFonts w:ascii="Arial" w:hAnsi="Arial" w:cs="Arial"/>
              <w:b/>
              <w:color w:val="0054A1"/>
              <w:sz w:val="24"/>
              <w:szCs w:val="24"/>
              <w:bdr w:val="nil"/>
            </w:rPr>
          </w:pPr>
          <w:r w:rsidRPr="00270F2A">
            <w:rPr>
              <w:rFonts w:ascii="Arial" w:hAnsi="Arial" w:cs="Arial"/>
              <w:b/>
              <w:color w:val="0054A1"/>
              <w:sz w:val="24"/>
              <w:szCs w:val="24"/>
              <w:bdr w:val="nil"/>
            </w:rPr>
            <w:t>Securitizadora de Créditos Financeiros</w:t>
          </w:r>
        </w:p>
      </w:tc>
      <w:tc>
        <w:tcPr>
          <w:tcW w:w="4890" w:type="dxa"/>
        </w:tcPr>
        <w:p w:rsidR="000C4A36" w:rsidRDefault="00A82039" w:rsidP="000277E6">
          <w:pPr>
            <w:pStyle w:val="Cabealho"/>
            <w:pBdr>
              <w:top w:val="nil"/>
              <w:left w:val="nil"/>
              <w:bottom w:val="nil"/>
              <w:right w:val="nil"/>
              <w:between w:val="nil"/>
              <w:bar w:val="nil"/>
            </w:pBdr>
            <w:tabs>
              <w:tab w:val="left" w:pos="708"/>
            </w:tabs>
            <w:spacing w:before="120"/>
            <w:jc w:val="right"/>
            <w:rPr>
              <w:rFonts w:ascii="Arial" w:hAnsi="Arial" w:cs="Arial"/>
              <w:b/>
              <w:color w:val="0054A1"/>
              <w:bdr w:val="nil"/>
            </w:rPr>
          </w:pPr>
          <w:r>
            <w:rPr>
              <w:rFonts w:ascii="Arial" w:hAnsi="Arial" w:cs="Arial"/>
              <w:b/>
              <w:color w:val="0054A1"/>
              <w:bdr w:val="nil"/>
            </w:rPr>
            <w:t>Relatório</w:t>
          </w:r>
          <w:r w:rsidRPr="000C4A36">
            <w:rPr>
              <w:rFonts w:ascii="Arial" w:hAnsi="Arial" w:cs="Arial"/>
              <w:b/>
              <w:color w:val="0054A1"/>
              <w:bdr w:val="nil"/>
            </w:rPr>
            <w:t xml:space="preserve"> dos auditores independentes sobre as demonstrações contábeis</w:t>
          </w:r>
        </w:p>
        <w:p w:rsidR="000277E6" w:rsidRPr="00620AB0" w:rsidRDefault="00A82039" w:rsidP="000277E6">
          <w:pPr>
            <w:pStyle w:val="Cabealho"/>
            <w:pBdr>
              <w:top w:val="nil"/>
              <w:left w:val="nil"/>
              <w:bottom w:val="nil"/>
              <w:right w:val="nil"/>
              <w:between w:val="nil"/>
              <w:bar w:val="nil"/>
            </w:pBdr>
            <w:tabs>
              <w:tab w:val="right" w:pos="9355"/>
            </w:tabs>
            <w:spacing w:before="120"/>
            <w:jc w:val="right"/>
            <w:rPr>
              <w:rFonts w:ascii="Arial" w:hAnsi="Arial" w:cs="Arial"/>
              <w:b/>
              <w:color w:val="585151"/>
              <w:bdr w:val="nil"/>
            </w:rPr>
          </w:pPr>
          <w:r w:rsidRPr="00620AB0">
            <w:rPr>
              <w:rFonts w:ascii="Arial" w:hAnsi="Arial" w:cs="Arial"/>
              <w:b/>
              <w:color w:val="585151"/>
              <w:bdr w:val="nil"/>
            </w:rPr>
            <w:t>Exercício encerrado em 31.12.2019</w:t>
          </w:r>
        </w:p>
        <w:p w:rsidR="000277E6" w:rsidRDefault="000277E6" w:rsidP="000C4A36">
          <w:pPr>
            <w:pStyle w:val="Cabealho"/>
            <w:spacing w:before="80"/>
            <w:jc w:val="right"/>
            <w:rPr>
              <w:rFonts w:ascii="Arial" w:hAnsi="Arial" w:cs="Arial"/>
              <w:b/>
              <w:color w:val="0054A1"/>
              <w:sz w:val="24"/>
              <w:szCs w:val="24"/>
              <w:bdr w:val="nil"/>
            </w:rPr>
          </w:pPr>
        </w:p>
      </w:tc>
    </w:tr>
  </w:tbl>
  <w:p w:rsidR="00FF7457" w:rsidRPr="00FF7457" w:rsidRDefault="00A82039" w:rsidP="000277E6">
    <w:pPr>
      <w:pStyle w:val="Cabealho"/>
      <w:pBdr>
        <w:top w:val="nil"/>
        <w:left w:val="nil"/>
        <w:bottom w:val="nil"/>
        <w:right w:val="nil"/>
        <w:between w:val="nil"/>
        <w:bar w:val="nil"/>
      </w:pBdr>
      <w:tabs>
        <w:tab w:val="left" w:pos="708"/>
      </w:tabs>
      <w:spacing w:before="120"/>
      <w:jc w:val="right"/>
      <w:rPr>
        <w:rFonts w:ascii="Arial" w:hAnsi="Arial" w:cs="Arial"/>
        <w:b/>
        <w:color w:val="0054A1"/>
        <w:sz w:val="13"/>
        <w:szCs w:val="13"/>
        <w:bdr w:val="nil"/>
        <w:lang w:val="en-US"/>
      </w:rPr>
    </w:pPr>
    <w:r w:rsidRPr="00FF7457">
      <w:rPr>
        <w:rFonts w:ascii="Arial" w:hAnsi="Arial" w:cs="Arial"/>
        <w:noProof/>
        <w:bdr w:val="nil"/>
        <w:lang w:eastAsia="pt-BR"/>
      </w:rPr>
      <w:drawing>
        <wp:anchor distT="0" distB="0" distL="114300" distR="114300" simplePos="0" relativeHeight="251683840" behindDoc="1" locked="0" layoutInCell="1" allowOverlap="1">
          <wp:simplePos x="0" y="0"/>
          <wp:positionH relativeFrom="page">
            <wp:align>left</wp:align>
          </wp:positionH>
          <wp:positionV relativeFrom="page">
            <wp:align>top</wp:align>
          </wp:positionV>
          <wp:extent cx="10692130" cy="1166495"/>
          <wp:effectExtent l="0" t="0" r="0" b="0"/>
          <wp:wrapNone/>
          <wp:docPr id="86641991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42337"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w:drawing>
        <wp:anchor distT="0" distB="0" distL="114300" distR="114300" simplePos="0" relativeHeight="251711488" behindDoc="1" locked="0" layoutInCell="1" allowOverlap="1">
          <wp:simplePos x="0" y="0"/>
          <wp:positionH relativeFrom="page">
            <wp:posOffset>0</wp:posOffset>
          </wp:positionH>
          <wp:positionV relativeFrom="page">
            <wp:posOffset>0</wp:posOffset>
          </wp:positionV>
          <wp:extent cx="10692000" cy="1170000"/>
          <wp:effectExtent l="0" t="0" r="0" b="0"/>
          <wp:wrapNone/>
          <wp:docPr id="1221953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993510"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mc:AlternateContent>
        <mc:Choice Requires="wpg">
          <w:drawing>
            <wp:anchor distT="0" distB="0" distL="114300" distR="114300" simplePos="0" relativeHeight="251744256"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1533905408"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987255122"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540815103"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Agrupar 9" o:spid="_x0000_s2096"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73248"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7" type="#_x0000_t75" style="width:21600;height:21600;position:absolute">
                <v:imagedata r:id="rId5" o:title=""/>
              </v:shape>
              <v:shape id="_x0000_s2098" type="#_x0000_t75" style="width:21600;height:21600;position:absolute" filled="f" stroked="f">
                <v:imagedata r:id="rId6" o:title=""/>
              </v:shape>
            </v:group>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CE2" w:rsidRDefault="00566CE2">
    <w:pPr>
      <w:pBdr>
        <w:top w:val="nil"/>
        <w:left w:val="nil"/>
        <w:bottom w:val="nil"/>
        <w:right w:val="nil"/>
        <w:between w:val="nil"/>
        <w:bar w:val="nil"/>
      </w:pBdr>
      <w:spacing w:before="0" w:after="0" w:line="240" w:lineRule="auto"/>
      <w:jc w:val="left"/>
      <w:rPr>
        <w:bdr w:val="nil"/>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566CE2" w:rsidTr="00BA6ED4">
      <w:tc>
        <w:tcPr>
          <w:tcW w:w="4889" w:type="dxa"/>
        </w:tcPr>
        <w:p w:rsidR="000277E6" w:rsidRPr="00270F2A" w:rsidRDefault="00A82039" w:rsidP="000277E6">
          <w:pPr>
            <w:pStyle w:val="Cabealho"/>
            <w:pBdr>
              <w:top w:val="nil"/>
              <w:left w:val="nil"/>
              <w:bottom w:val="nil"/>
              <w:right w:val="nil"/>
              <w:between w:val="nil"/>
              <w:bar w:val="nil"/>
            </w:pBdr>
            <w:tabs>
              <w:tab w:val="left" w:pos="708"/>
            </w:tabs>
            <w:spacing w:before="120"/>
            <w:rPr>
              <w:rFonts w:ascii="Arial" w:hAnsi="Arial" w:cs="Arial"/>
              <w:b/>
              <w:color w:val="0054A1"/>
              <w:sz w:val="24"/>
              <w:szCs w:val="24"/>
              <w:bdr w:val="nil"/>
            </w:rPr>
          </w:pPr>
          <w:r w:rsidRPr="00270F2A">
            <w:rPr>
              <w:rFonts w:ascii="Arial" w:hAnsi="Arial" w:cs="Arial"/>
              <w:b/>
              <w:color w:val="0054A1"/>
              <w:sz w:val="24"/>
              <w:szCs w:val="24"/>
              <w:bdr w:val="nil"/>
            </w:rPr>
            <w:t>Ativos S.A.</w:t>
          </w:r>
        </w:p>
        <w:p w:rsidR="00133A06" w:rsidRDefault="00A82039" w:rsidP="000277E6">
          <w:pPr>
            <w:pStyle w:val="Cabealho"/>
            <w:pBdr>
              <w:top w:val="nil"/>
              <w:left w:val="nil"/>
              <w:bottom w:val="nil"/>
              <w:right w:val="nil"/>
              <w:between w:val="nil"/>
              <w:bar w:val="nil"/>
            </w:pBdr>
            <w:tabs>
              <w:tab w:val="left" w:pos="708"/>
            </w:tabs>
            <w:spacing w:before="120"/>
            <w:rPr>
              <w:rFonts w:ascii="Arial" w:hAnsi="Arial" w:cs="Arial"/>
              <w:b/>
              <w:color w:val="0054A1"/>
              <w:sz w:val="24"/>
              <w:szCs w:val="24"/>
              <w:bdr w:val="nil"/>
            </w:rPr>
          </w:pPr>
          <w:r w:rsidRPr="00270F2A">
            <w:rPr>
              <w:rFonts w:ascii="Arial" w:hAnsi="Arial" w:cs="Arial"/>
              <w:b/>
              <w:color w:val="0054A1"/>
              <w:sz w:val="24"/>
              <w:szCs w:val="24"/>
              <w:bdr w:val="nil"/>
            </w:rPr>
            <w:t>Securitizadora de Créditos Financeiros</w:t>
          </w:r>
        </w:p>
      </w:tc>
      <w:tc>
        <w:tcPr>
          <w:tcW w:w="4890" w:type="dxa"/>
        </w:tcPr>
        <w:p w:rsidR="000277E6" w:rsidRPr="003036D7" w:rsidRDefault="00A82039" w:rsidP="000277E6">
          <w:pPr>
            <w:pStyle w:val="Cabealho"/>
            <w:pBdr>
              <w:top w:val="nil"/>
              <w:left w:val="nil"/>
              <w:bottom w:val="nil"/>
              <w:right w:val="nil"/>
              <w:between w:val="nil"/>
              <w:bar w:val="nil"/>
            </w:pBdr>
            <w:tabs>
              <w:tab w:val="left" w:pos="708"/>
            </w:tabs>
            <w:spacing w:before="120"/>
            <w:jc w:val="right"/>
            <w:rPr>
              <w:rFonts w:ascii="Arial" w:hAnsi="Arial" w:cs="Arial"/>
              <w:b/>
              <w:color w:val="0054A1"/>
              <w:bdr w:val="nil"/>
            </w:rPr>
          </w:pPr>
          <w:r w:rsidRPr="003036D7">
            <w:rPr>
              <w:rFonts w:ascii="Arial" w:hAnsi="Arial" w:cs="Arial"/>
              <w:b/>
              <w:color w:val="0054A1"/>
              <w:bdr w:val="nil"/>
            </w:rPr>
            <w:t>Demonstrações Contábeis</w:t>
          </w:r>
        </w:p>
        <w:p w:rsidR="000277E6" w:rsidRPr="003036D7" w:rsidRDefault="00A82039" w:rsidP="000277E6">
          <w:pPr>
            <w:pStyle w:val="Cabealho"/>
            <w:pBdr>
              <w:top w:val="nil"/>
              <w:left w:val="nil"/>
              <w:bottom w:val="nil"/>
              <w:right w:val="nil"/>
              <w:between w:val="nil"/>
              <w:bar w:val="nil"/>
            </w:pBdr>
            <w:tabs>
              <w:tab w:val="right" w:pos="9355"/>
            </w:tabs>
            <w:spacing w:before="120"/>
            <w:jc w:val="right"/>
            <w:rPr>
              <w:rFonts w:ascii="Arial" w:hAnsi="Arial" w:cs="Arial"/>
              <w:b/>
              <w:color w:val="585151"/>
              <w:bdr w:val="nil"/>
            </w:rPr>
          </w:pPr>
          <w:r w:rsidRPr="003036D7">
            <w:rPr>
              <w:rFonts w:ascii="Arial" w:hAnsi="Arial" w:cs="Arial"/>
              <w:b/>
              <w:color w:val="585151"/>
              <w:bdr w:val="nil"/>
            </w:rPr>
            <w:t>Exercício encerrado em 31.12.2019</w:t>
          </w:r>
        </w:p>
        <w:p w:rsidR="000277E6" w:rsidRPr="00A46AE8" w:rsidRDefault="000277E6" w:rsidP="00BA6ED4">
          <w:pPr>
            <w:pStyle w:val="Cabealho"/>
            <w:spacing w:before="440" w:after="40"/>
            <w:jc w:val="right"/>
            <w:rPr>
              <w:rFonts w:ascii="Arial" w:hAnsi="Arial" w:cs="Arial"/>
              <w:b/>
              <w:color w:val="0054A1"/>
              <w:spacing w:val="-6"/>
              <w:sz w:val="24"/>
              <w:szCs w:val="24"/>
              <w:bdr w:val="nil"/>
            </w:rPr>
          </w:pPr>
        </w:p>
      </w:tc>
    </w:tr>
  </w:tbl>
  <w:p w:rsidR="00FF7457" w:rsidRPr="00CF4BAB" w:rsidRDefault="00A82039" w:rsidP="00CF4BAB">
    <w:pPr>
      <w:pStyle w:val="Cabealho"/>
      <w:pBdr>
        <w:top w:val="nil"/>
        <w:left w:val="nil"/>
        <w:bottom w:val="nil"/>
        <w:right w:val="nil"/>
        <w:between w:val="nil"/>
        <w:bar w:val="nil"/>
      </w:pBdr>
      <w:tabs>
        <w:tab w:val="left" w:pos="708"/>
      </w:tabs>
      <w:spacing w:before="120"/>
      <w:jc w:val="right"/>
      <w:rPr>
        <w:rFonts w:ascii="Arial" w:hAnsi="Arial" w:cs="Arial"/>
        <w:b/>
        <w:color w:val="0054A1"/>
        <w:sz w:val="13"/>
        <w:szCs w:val="13"/>
        <w:bdr w:val="nil"/>
        <w:lang w:val="en-US"/>
      </w:rPr>
    </w:pPr>
    <w:r w:rsidRPr="00FF7457">
      <w:rPr>
        <w:rFonts w:ascii="Arial" w:hAnsi="Arial" w:cs="Arial"/>
        <w:noProof/>
        <w:bdr w:val="nil"/>
        <w:lang w:eastAsia="pt-BR"/>
      </w:rPr>
      <w:drawing>
        <wp:anchor distT="0" distB="0" distL="114300" distR="114300" simplePos="0" relativeHeight="251691008" behindDoc="1" locked="0" layoutInCell="1" allowOverlap="1">
          <wp:simplePos x="0" y="0"/>
          <wp:positionH relativeFrom="page">
            <wp:align>left</wp:align>
          </wp:positionH>
          <wp:positionV relativeFrom="page">
            <wp:align>top</wp:align>
          </wp:positionV>
          <wp:extent cx="10692130" cy="1166495"/>
          <wp:effectExtent l="0" t="0" r="0" b="0"/>
          <wp:wrapNone/>
          <wp:docPr id="1427831268"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867947"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w:drawing>
        <wp:anchor distT="0" distB="0" distL="114300" distR="114300" simplePos="0" relativeHeight="251714560" behindDoc="1" locked="0" layoutInCell="1" allowOverlap="1">
          <wp:simplePos x="0" y="0"/>
          <wp:positionH relativeFrom="page">
            <wp:posOffset>0</wp:posOffset>
          </wp:positionH>
          <wp:positionV relativeFrom="page">
            <wp:posOffset>0</wp:posOffset>
          </wp:positionV>
          <wp:extent cx="10692000" cy="1170000"/>
          <wp:effectExtent l="0" t="0" r="0" b="0"/>
          <wp:wrapNone/>
          <wp:docPr id="139184372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045004"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mc:AlternateContent>
        <mc:Choice Requires="wpg">
          <w:drawing>
            <wp:anchor distT="0" distB="0" distL="114300" distR="114300" simplePos="0" relativeHeight="251752448"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157653612"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312592302"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798248435"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Agrupar 9" o:spid="_x0000_s2101"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65056"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02" type="#_x0000_t75" style="width:21600;height:21600;position:absolute">
                <v:imagedata r:id="rId5" o:title=""/>
              </v:shape>
              <v:shape id="_x0000_s2103" type="#_x0000_t75" style="width:21600;height:21600;position:absolute" filled="f" stroked="f">
                <v:imagedata r:id="rId6" o:title=""/>
              </v:shape>
            </v:group>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566CE2" w:rsidTr="00BA6ED4">
      <w:tc>
        <w:tcPr>
          <w:tcW w:w="4889" w:type="dxa"/>
        </w:tcPr>
        <w:p w:rsidR="000277E6" w:rsidRPr="00270F2A" w:rsidRDefault="00A82039" w:rsidP="000277E6">
          <w:pPr>
            <w:pStyle w:val="Cabealho"/>
            <w:pBdr>
              <w:top w:val="nil"/>
              <w:left w:val="nil"/>
              <w:bottom w:val="nil"/>
              <w:right w:val="nil"/>
              <w:between w:val="nil"/>
              <w:bar w:val="nil"/>
            </w:pBdr>
            <w:tabs>
              <w:tab w:val="left" w:pos="708"/>
            </w:tabs>
            <w:spacing w:before="120"/>
            <w:rPr>
              <w:rFonts w:ascii="Arial" w:hAnsi="Arial" w:cs="Arial"/>
              <w:b/>
              <w:color w:val="0054A1"/>
              <w:sz w:val="24"/>
              <w:szCs w:val="24"/>
              <w:bdr w:val="nil"/>
            </w:rPr>
          </w:pPr>
          <w:r w:rsidRPr="00270F2A">
            <w:rPr>
              <w:rFonts w:ascii="Arial" w:hAnsi="Arial" w:cs="Arial"/>
              <w:b/>
              <w:color w:val="0054A1"/>
              <w:sz w:val="24"/>
              <w:szCs w:val="24"/>
              <w:bdr w:val="nil"/>
            </w:rPr>
            <w:t>Ativos S.A.</w:t>
          </w:r>
        </w:p>
        <w:p w:rsidR="00133A06" w:rsidRDefault="00A82039" w:rsidP="000277E6">
          <w:pPr>
            <w:pStyle w:val="Cabealho"/>
            <w:pBdr>
              <w:top w:val="nil"/>
              <w:left w:val="nil"/>
              <w:bottom w:val="nil"/>
              <w:right w:val="nil"/>
              <w:between w:val="nil"/>
              <w:bar w:val="nil"/>
            </w:pBdr>
            <w:tabs>
              <w:tab w:val="left" w:pos="708"/>
            </w:tabs>
            <w:spacing w:before="120"/>
            <w:rPr>
              <w:rFonts w:ascii="Arial" w:hAnsi="Arial" w:cs="Arial"/>
              <w:b/>
              <w:color w:val="0054A1"/>
              <w:sz w:val="24"/>
              <w:szCs w:val="24"/>
              <w:bdr w:val="nil"/>
            </w:rPr>
          </w:pPr>
          <w:r w:rsidRPr="00270F2A">
            <w:rPr>
              <w:rFonts w:ascii="Arial" w:hAnsi="Arial" w:cs="Arial"/>
              <w:b/>
              <w:color w:val="0054A1"/>
              <w:sz w:val="24"/>
              <w:szCs w:val="24"/>
              <w:bdr w:val="nil"/>
            </w:rPr>
            <w:t>Securitizadora de Créditos Financeiros</w:t>
          </w:r>
        </w:p>
      </w:tc>
      <w:tc>
        <w:tcPr>
          <w:tcW w:w="4890" w:type="dxa"/>
        </w:tcPr>
        <w:p w:rsidR="000277E6" w:rsidRPr="003036D7" w:rsidRDefault="00A82039" w:rsidP="000277E6">
          <w:pPr>
            <w:pStyle w:val="Cabealho"/>
            <w:pBdr>
              <w:top w:val="nil"/>
              <w:left w:val="nil"/>
              <w:bottom w:val="nil"/>
              <w:right w:val="nil"/>
              <w:between w:val="nil"/>
              <w:bar w:val="nil"/>
            </w:pBdr>
            <w:tabs>
              <w:tab w:val="left" w:pos="708"/>
            </w:tabs>
            <w:spacing w:before="120"/>
            <w:jc w:val="right"/>
            <w:rPr>
              <w:rFonts w:ascii="Arial" w:hAnsi="Arial" w:cs="Arial"/>
              <w:b/>
              <w:color w:val="0054A1"/>
              <w:bdr w:val="nil"/>
            </w:rPr>
          </w:pPr>
          <w:r w:rsidRPr="003036D7">
            <w:rPr>
              <w:rFonts w:ascii="Arial" w:hAnsi="Arial" w:cs="Arial"/>
              <w:b/>
              <w:color w:val="0054A1"/>
              <w:bdr w:val="nil"/>
            </w:rPr>
            <w:t>Demonstrações Contábeis</w:t>
          </w:r>
        </w:p>
        <w:p w:rsidR="000277E6" w:rsidRPr="003036D7" w:rsidRDefault="00A82039" w:rsidP="000277E6">
          <w:pPr>
            <w:pStyle w:val="Cabealho"/>
            <w:pBdr>
              <w:top w:val="nil"/>
              <w:left w:val="nil"/>
              <w:bottom w:val="nil"/>
              <w:right w:val="nil"/>
              <w:between w:val="nil"/>
              <w:bar w:val="nil"/>
            </w:pBdr>
            <w:tabs>
              <w:tab w:val="right" w:pos="9355"/>
            </w:tabs>
            <w:spacing w:before="120"/>
            <w:jc w:val="right"/>
            <w:rPr>
              <w:rFonts w:ascii="Arial" w:hAnsi="Arial" w:cs="Arial"/>
              <w:b/>
              <w:color w:val="585151"/>
              <w:bdr w:val="nil"/>
            </w:rPr>
          </w:pPr>
          <w:r w:rsidRPr="003036D7">
            <w:rPr>
              <w:rFonts w:ascii="Arial" w:hAnsi="Arial" w:cs="Arial"/>
              <w:b/>
              <w:color w:val="585151"/>
              <w:bdr w:val="nil"/>
            </w:rPr>
            <w:t>Exercício encerrado em 31.12.2019</w:t>
          </w:r>
        </w:p>
        <w:p w:rsidR="000277E6" w:rsidRPr="00A46AE8" w:rsidRDefault="000277E6" w:rsidP="00BA6ED4">
          <w:pPr>
            <w:pStyle w:val="Cabealho"/>
            <w:spacing w:before="440" w:after="40"/>
            <w:jc w:val="right"/>
            <w:rPr>
              <w:rFonts w:ascii="Arial" w:hAnsi="Arial" w:cs="Arial"/>
              <w:b/>
              <w:color w:val="0054A1"/>
              <w:spacing w:val="-6"/>
              <w:sz w:val="24"/>
              <w:szCs w:val="24"/>
              <w:bdr w:val="nil"/>
            </w:rPr>
          </w:pPr>
        </w:p>
      </w:tc>
    </w:tr>
  </w:tbl>
  <w:p w:rsidR="00FF7457" w:rsidRPr="00CF4BAB" w:rsidRDefault="00A82039" w:rsidP="00CF4BAB">
    <w:pPr>
      <w:pStyle w:val="Cabealho"/>
      <w:pBdr>
        <w:top w:val="nil"/>
        <w:left w:val="nil"/>
        <w:bottom w:val="nil"/>
        <w:right w:val="nil"/>
        <w:between w:val="nil"/>
        <w:bar w:val="nil"/>
      </w:pBdr>
      <w:tabs>
        <w:tab w:val="left" w:pos="708"/>
      </w:tabs>
      <w:spacing w:before="120"/>
      <w:jc w:val="right"/>
      <w:rPr>
        <w:rFonts w:ascii="Arial" w:hAnsi="Arial" w:cs="Arial"/>
        <w:b/>
        <w:color w:val="0054A1"/>
        <w:sz w:val="13"/>
        <w:szCs w:val="13"/>
        <w:bdr w:val="nil"/>
        <w:lang w:val="en-US"/>
      </w:rPr>
    </w:pPr>
    <w:r w:rsidRPr="00FF7457">
      <w:rPr>
        <w:rFonts w:ascii="Arial" w:hAnsi="Arial" w:cs="Arial"/>
        <w:noProof/>
        <w:bdr w:val="nil"/>
        <w:lang w:eastAsia="pt-BR"/>
      </w:rPr>
      <w:drawing>
        <wp:anchor distT="0" distB="0" distL="114300" distR="114300" simplePos="0" relativeHeight="251689984" behindDoc="1" locked="0" layoutInCell="1" allowOverlap="1">
          <wp:simplePos x="0" y="0"/>
          <wp:positionH relativeFrom="page">
            <wp:align>left</wp:align>
          </wp:positionH>
          <wp:positionV relativeFrom="page">
            <wp:align>top</wp:align>
          </wp:positionV>
          <wp:extent cx="10692130" cy="1166495"/>
          <wp:effectExtent l="0" t="0" r="0" b="0"/>
          <wp:wrapNone/>
          <wp:docPr id="2137833036"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79794"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w:drawing>
        <wp:anchor distT="0" distB="0" distL="114300" distR="114300" simplePos="0" relativeHeight="251713536" behindDoc="1" locked="0" layoutInCell="1" allowOverlap="1">
          <wp:simplePos x="0" y="0"/>
          <wp:positionH relativeFrom="page">
            <wp:posOffset>0</wp:posOffset>
          </wp:positionH>
          <wp:positionV relativeFrom="page">
            <wp:posOffset>0</wp:posOffset>
          </wp:positionV>
          <wp:extent cx="10692000" cy="1170000"/>
          <wp:effectExtent l="0" t="0" r="0" b="0"/>
          <wp:wrapNone/>
          <wp:docPr id="107874186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583352"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mc:AlternateContent>
        <mc:Choice Requires="wpg">
          <w:drawing>
            <wp:anchor distT="0" distB="0" distL="114300" distR="114300" simplePos="0" relativeHeight="251750400"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1555442763"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772570085"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219017024"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Agrupar 9" o:spid="_x0000_s2104"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67104"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05" type="#_x0000_t75" style="width:21600;height:21600;position:absolute">
                <v:imagedata r:id="rId5" o:title=""/>
              </v:shape>
              <v:shape id="_x0000_s2106" type="#_x0000_t75" style="width:21600;height:21600;position:absolute" filled="f" stroked="f">
                <v:imagedata r:id="rId6" o:title=""/>
              </v:shape>
            </v:group>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CE2" w:rsidRDefault="00566CE2">
    <w:pPr>
      <w:pBdr>
        <w:top w:val="nil"/>
        <w:left w:val="nil"/>
        <w:bottom w:val="nil"/>
        <w:right w:val="nil"/>
        <w:between w:val="nil"/>
        <w:bar w:val="nil"/>
      </w:pBdr>
      <w:spacing w:before="0" w:after="200"/>
      <w:jc w:val="left"/>
      <w:rPr>
        <w:rFonts w:ascii="Calibri" w:eastAsia="Calibri" w:hAnsi="Calibri" w:cs="Arial"/>
        <w:sz w:val="22"/>
        <w:szCs w:val="22"/>
        <w:bdr w:val="nil"/>
        <w:lang w:val="en-US" w:eastAsia="en-US"/>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566CE2" w:rsidTr="00BA6ED4">
      <w:tc>
        <w:tcPr>
          <w:tcW w:w="4889" w:type="dxa"/>
        </w:tcPr>
        <w:p w:rsidR="000277E6" w:rsidRPr="00270F2A" w:rsidRDefault="00A82039" w:rsidP="000277E6">
          <w:pPr>
            <w:pStyle w:val="Cabealho"/>
            <w:pBdr>
              <w:top w:val="nil"/>
              <w:left w:val="nil"/>
              <w:bottom w:val="nil"/>
              <w:right w:val="nil"/>
              <w:between w:val="nil"/>
              <w:bar w:val="nil"/>
            </w:pBdr>
            <w:tabs>
              <w:tab w:val="left" w:pos="708"/>
            </w:tabs>
            <w:spacing w:before="120"/>
            <w:rPr>
              <w:rFonts w:ascii="Arial" w:hAnsi="Arial" w:cs="Arial"/>
              <w:b/>
              <w:color w:val="0054A1"/>
              <w:sz w:val="24"/>
              <w:szCs w:val="24"/>
              <w:bdr w:val="nil"/>
            </w:rPr>
          </w:pPr>
          <w:r w:rsidRPr="00270F2A">
            <w:rPr>
              <w:rFonts w:ascii="Arial" w:hAnsi="Arial" w:cs="Arial"/>
              <w:b/>
              <w:color w:val="0054A1"/>
              <w:sz w:val="24"/>
              <w:szCs w:val="24"/>
              <w:bdr w:val="nil"/>
            </w:rPr>
            <w:t>Ativos S.A.</w:t>
          </w:r>
        </w:p>
        <w:p w:rsidR="00133A06" w:rsidRDefault="00A82039" w:rsidP="000277E6">
          <w:pPr>
            <w:pStyle w:val="Cabealho"/>
            <w:pBdr>
              <w:top w:val="nil"/>
              <w:left w:val="nil"/>
              <w:bottom w:val="nil"/>
              <w:right w:val="nil"/>
              <w:between w:val="nil"/>
              <w:bar w:val="nil"/>
            </w:pBdr>
            <w:tabs>
              <w:tab w:val="left" w:pos="708"/>
            </w:tabs>
            <w:spacing w:before="120"/>
            <w:rPr>
              <w:rFonts w:ascii="Arial" w:hAnsi="Arial" w:cs="Arial"/>
              <w:b/>
              <w:color w:val="0054A1"/>
              <w:sz w:val="24"/>
              <w:szCs w:val="24"/>
              <w:bdr w:val="nil"/>
            </w:rPr>
          </w:pPr>
          <w:r w:rsidRPr="00270F2A">
            <w:rPr>
              <w:rFonts w:ascii="Arial" w:hAnsi="Arial" w:cs="Arial"/>
              <w:b/>
              <w:color w:val="0054A1"/>
              <w:sz w:val="24"/>
              <w:szCs w:val="24"/>
              <w:bdr w:val="nil"/>
            </w:rPr>
            <w:t>Securitizadora de Créditos Financeiros</w:t>
          </w:r>
        </w:p>
      </w:tc>
      <w:tc>
        <w:tcPr>
          <w:tcW w:w="4890" w:type="dxa"/>
        </w:tcPr>
        <w:p w:rsidR="000277E6" w:rsidRPr="00620AB0" w:rsidRDefault="00A82039" w:rsidP="000277E6">
          <w:pPr>
            <w:pStyle w:val="Cabealho"/>
            <w:pBdr>
              <w:top w:val="nil"/>
              <w:left w:val="nil"/>
              <w:bottom w:val="nil"/>
              <w:right w:val="nil"/>
              <w:between w:val="nil"/>
              <w:bar w:val="nil"/>
            </w:pBdr>
            <w:tabs>
              <w:tab w:val="left" w:pos="708"/>
            </w:tabs>
            <w:spacing w:before="120"/>
            <w:jc w:val="right"/>
            <w:rPr>
              <w:rFonts w:ascii="Arial" w:hAnsi="Arial" w:cs="Arial"/>
              <w:b/>
              <w:color w:val="0054A1"/>
              <w:bdr w:val="nil"/>
            </w:rPr>
          </w:pPr>
          <w:r w:rsidRPr="00620AB0">
            <w:rPr>
              <w:rFonts w:ascii="Arial" w:hAnsi="Arial" w:cs="Arial"/>
              <w:b/>
              <w:color w:val="0054A1"/>
              <w:bdr w:val="nil"/>
            </w:rPr>
            <w:t>Demonstrações Contábeis</w:t>
          </w:r>
        </w:p>
        <w:p w:rsidR="000277E6" w:rsidRPr="00620AB0" w:rsidRDefault="00A82039" w:rsidP="000277E6">
          <w:pPr>
            <w:pStyle w:val="Cabealho"/>
            <w:pBdr>
              <w:top w:val="nil"/>
              <w:left w:val="nil"/>
              <w:bottom w:val="nil"/>
              <w:right w:val="nil"/>
              <w:between w:val="nil"/>
              <w:bar w:val="nil"/>
            </w:pBdr>
            <w:tabs>
              <w:tab w:val="right" w:pos="9355"/>
            </w:tabs>
            <w:spacing w:before="120"/>
            <w:jc w:val="right"/>
            <w:rPr>
              <w:rFonts w:ascii="Arial" w:hAnsi="Arial" w:cs="Arial"/>
              <w:b/>
              <w:color w:val="585151"/>
              <w:bdr w:val="nil"/>
            </w:rPr>
          </w:pPr>
          <w:r w:rsidRPr="00620AB0">
            <w:rPr>
              <w:rFonts w:ascii="Arial" w:hAnsi="Arial" w:cs="Arial"/>
              <w:b/>
              <w:color w:val="585151"/>
              <w:bdr w:val="nil"/>
            </w:rPr>
            <w:t>Exercício encerrado em 31.12.2019</w:t>
          </w:r>
        </w:p>
        <w:p w:rsidR="000277E6" w:rsidRDefault="000277E6" w:rsidP="00BC7C5C">
          <w:pPr>
            <w:pStyle w:val="Cabealho"/>
            <w:spacing w:before="400"/>
            <w:jc w:val="right"/>
            <w:rPr>
              <w:rFonts w:ascii="Arial" w:hAnsi="Arial" w:cs="Arial"/>
              <w:b/>
              <w:color w:val="0054A1"/>
              <w:sz w:val="24"/>
              <w:szCs w:val="24"/>
              <w:bdr w:val="nil"/>
            </w:rPr>
          </w:pPr>
        </w:p>
      </w:tc>
    </w:tr>
  </w:tbl>
  <w:p w:rsidR="00FF7457" w:rsidRPr="00FF7457" w:rsidRDefault="00A82039" w:rsidP="000277E6">
    <w:pPr>
      <w:pStyle w:val="Cabealho"/>
      <w:pBdr>
        <w:top w:val="nil"/>
        <w:left w:val="nil"/>
        <w:bottom w:val="nil"/>
        <w:right w:val="nil"/>
        <w:between w:val="nil"/>
        <w:bar w:val="nil"/>
      </w:pBdr>
      <w:tabs>
        <w:tab w:val="left" w:pos="708"/>
      </w:tabs>
      <w:spacing w:before="120"/>
      <w:jc w:val="right"/>
      <w:rPr>
        <w:rFonts w:ascii="Arial" w:hAnsi="Arial" w:cs="Arial"/>
        <w:b/>
        <w:color w:val="0054A1"/>
        <w:sz w:val="13"/>
        <w:szCs w:val="13"/>
        <w:bdr w:val="nil"/>
        <w:lang w:val="en-US"/>
      </w:rPr>
    </w:pPr>
    <w:r w:rsidRPr="00FF7457">
      <w:rPr>
        <w:rFonts w:ascii="Arial" w:hAnsi="Arial" w:cs="Arial"/>
        <w:noProof/>
        <w:bdr w:val="nil"/>
        <w:lang w:eastAsia="pt-BR"/>
      </w:rPr>
      <w:drawing>
        <wp:anchor distT="0" distB="0" distL="114300" distR="114300" simplePos="0" relativeHeight="251697152" behindDoc="1" locked="0" layoutInCell="1" allowOverlap="1">
          <wp:simplePos x="0" y="0"/>
          <wp:positionH relativeFrom="page">
            <wp:align>left</wp:align>
          </wp:positionH>
          <wp:positionV relativeFrom="page">
            <wp:align>top</wp:align>
          </wp:positionV>
          <wp:extent cx="10692130" cy="1166495"/>
          <wp:effectExtent l="0" t="0" r="0" b="0"/>
          <wp:wrapNone/>
          <wp:docPr id="8734471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178057"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w:drawing>
        <wp:anchor distT="0" distB="0" distL="114300" distR="114300" simplePos="0" relativeHeight="251716608" behindDoc="1" locked="0" layoutInCell="1" allowOverlap="1">
          <wp:simplePos x="0" y="0"/>
          <wp:positionH relativeFrom="page">
            <wp:posOffset>0</wp:posOffset>
          </wp:positionH>
          <wp:positionV relativeFrom="page">
            <wp:posOffset>0</wp:posOffset>
          </wp:positionV>
          <wp:extent cx="10692000" cy="1170000"/>
          <wp:effectExtent l="0" t="0" r="0" b="0"/>
          <wp:wrapNone/>
          <wp:docPr id="64765858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853836"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mc:AlternateContent>
        <mc:Choice Requires="wpg">
          <w:drawing>
            <wp:anchor distT="0" distB="0" distL="114300" distR="114300" simplePos="0" relativeHeight="251758592"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1848813493"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39191870"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873393803"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Agrupar 9" o:spid="_x0000_s2109"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58912"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10" type="#_x0000_t75" style="width:21600;height:21600;position:absolute">
                <v:imagedata r:id="rId5" o:title=""/>
              </v:shape>
              <v:shape id="_x0000_s2111" type="#_x0000_t75" style="width:21600;height:21600;position:absolute" filled="f" stroked="f">
                <v:imagedata r:id="rId6" o:title=""/>
              </v:shape>
            </v:group>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566CE2" w:rsidTr="00BA6ED4">
      <w:tc>
        <w:tcPr>
          <w:tcW w:w="4889" w:type="dxa"/>
        </w:tcPr>
        <w:p w:rsidR="000277E6" w:rsidRPr="00270F2A" w:rsidRDefault="00A82039" w:rsidP="000277E6">
          <w:pPr>
            <w:pStyle w:val="Cabealho"/>
            <w:pBdr>
              <w:top w:val="nil"/>
              <w:left w:val="nil"/>
              <w:bottom w:val="nil"/>
              <w:right w:val="nil"/>
              <w:between w:val="nil"/>
              <w:bar w:val="nil"/>
            </w:pBdr>
            <w:tabs>
              <w:tab w:val="left" w:pos="708"/>
            </w:tabs>
            <w:spacing w:before="120"/>
            <w:rPr>
              <w:rFonts w:ascii="Arial" w:hAnsi="Arial" w:cs="Arial"/>
              <w:b/>
              <w:color w:val="0054A1"/>
              <w:sz w:val="24"/>
              <w:szCs w:val="24"/>
              <w:bdr w:val="nil"/>
            </w:rPr>
          </w:pPr>
          <w:r w:rsidRPr="00270F2A">
            <w:rPr>
              <w:rFonts w:ascii="Arial" w:hAnsi="Arial" w:cs="Arial"/>
              <w:b/>
              <w:color w:val="0054A1"/>
              <w:sz w:val="24"/>
              <w:szCs w:val="24"/>
              <w:bdr w:val="nil"/>
            </w:rPr>
            <w:t>Ativos S.A.</w:t>
          </w:r>
        </w:p>
        <w:p w:rsidR="00133A06" w:rsidRDefault="00A82039" w:rsidP="000277E6">
          <w:pPr>
            <w:pStyle w:val="Cabealho"/>
            <w:pBdr>
              <w:top w:val="nil"/>
              <w:left w:val="nil"/>
              <w:bottom w:val="nil"/>
              <w:right w:val="nil"/>
              <w:between w:val="nil"/>
              <w:bar w:val="nil"/>
            </w:pBdr>
            <w:tabs>
              <w:tab w:val="left" w:pos="708"/>
            </w:tabs>
            <w:spacing w:before="120"/>
            <w:rPr>
              <w:rFonts w:ascii="Arial" w:hAnsi="Arial" w:cs="Arial"/>
              <w:b/>
              <w:color w:val="0054A1"/>
              <w:sz w:val="24"/>
              <w:szCs w:val="24"/>
              <w:bdr w:val="nil"/>
            </w:rPr>
          </w:pPr>
          <w:r w:rsidRPr="00270F2A">
            <w:rPr>
              <w:rFonts w:ascii="Arial" w:hAnsi="Arial" w:cs="Arial"/>
              <w:b/>
              <w:color w:val="0054A1"/>
              <w:sz w:val="24"/>
              <w:szCs w:val="24"/>
              <w:bdr w:val="nil"/>
            </w:rPr>
            <w:t>Securitizadora de Créditos Financeiros</w:t>
          </w:r>
        </w:p>
      </w:tc>
      <w:tc>
        <w:tcPr>
          <w:tcW w:w="4890" w:type="dxa"/>
        </w:tcPr>
        <w:p w:rsidR="000277E6" w:rsidRPr="00620AB0" w:rsidRDefault="00A82039" w:rsidP="000277E6">
          <w:pPr>
            <w:pStyle w:val="Cabealho"/>
            <w:pBdr>
              <w:top w:val="nil"/>
              <w:left w:val="nil"/>
              <w:bottom w:val="nil"/>
              <w:right w:val="nil"/>
              <w:between w:val="nil"/>
              <w:bar w:val="nil"/>
            </w:pBdr>
            <w:tabs>
              <w:tab w:val="left" w:pos="708"/>
            </w:tabs>
            <w:spacing w:before="120"/>
            <w:jc w:val="right"/>
            <w:rPr>
              <w:rFonts w:ascii="Arial" w:hAnsi="Arial" w:cs="Arial"/>
              <w:b/>
              <w:color w:val="0054A1"/>
              <w:bdr w:val="nil"/>
            </w:rPr>
          </w:pPr>
          <w:r w:rsidRPr="00620AB0">
            <w:rPr>
              <w:rFonts w:ascii="Arial" w:hAnsi="Arial" w:cs="Arial"/>
              <w:b/>
              <w:color w:val="0054A1"/>
              <w:bdr w:val="nil"/>
            </w:rPr>
            <w:t>Demonstrações Contábeis</w:t>
          </w:r>
        </w:p>
        <w:p w:rsidR="000277E6" w:rsidRPr="00620AB0" w:rsidRDefault="00A82039" w:rsidP="000277E6">
          <w:pPr>
            <w:pStyle w:val="Cabealho"/>
            <w:pBdr>
              <w:top w:val="nil"/>
              <w:left w:val="nil"/>
              <w:bottom w:val="nil"/>
              <w:right w:val="nil"/>
              <w:between w:val="nil"/>
              <w:bar w:val="nil"/>
            </w:pBdr>
            <w:tabs>
              <w:tab w:val="right" w:pos="9355"/>
            </w:tabs>
            <w:spacing w:before="120"/>
            <w:jc w:val="right"/>
            <w:rPr>
              <w:rFonts w:ascii="Arial" w:hAnsi="Arial" w:cs="Arial"/>
              <w:b/>
              <w:color w:val="585151"/>
              <w:bdr w:val="nil"/>
            </w:rPr>
          </w:pPr>
          <w:r w:rsidRPr="00620AB0">
            <w:rPr>
              <w:rFonts w:ascii="Arial" w:hAnsi="Arial" w:cs="Arial"/>
              <w:b/>
              <w:color w:val="585151"/>
              <w:bdr w:val="nil"/>
            </w:rPr>
            <w:t>Exercício encerrado em 31.12.2019</w:t>
          </w:r>
        </w:p>
        <w:p w:rsidR="000277E6" w:rsidRDefault="000277E6" w:rsidP="00BC7C5C">
          <w:pPr>
            <w:pStyle w:val="Cabealho"/>
            <w:spacing w:before="400"/>
            <w:jc w:val="right"/>
            <w:rPr>
              <w:rFonts w:ascii="Arial" w:hAnsi="Arial" w:cs="Arial"/>
              <w:b/>
              <w:color w:val="0054A1"/>
              <w:sz w:val="24"/>
              <w:szCs w:val="24"/>
              <w:bdr w:val="nil"/>
            </w:rPr>
          </w:pPr>
        </w:p>
      </w:tc>
    </w:tr>
  </w:tbl>
  <w:p w:rsidR="00FF7457" w:rsidRPr="00FF7457" w:rsidRDefault="00A82039" w:rsidP="000277E6">
    <w:pPr>
      <w:pStyle w:val="Cabealho"/>
      <w:pBdr>
        <w:top w:val="nil"/>
        <w:left w:val="nil"/>
        <w:bottom w:val="nil"/>
        <w:right w:val="nil"/>
        <w:between w:val="nil"/>
        <w:bar w:val="nil"/>
      </w:pBdr>
      <w:tabs>
        <w:tab w:val="left" w:pos="708"/>
      </w:tabs>
      <w:spacing w:before="120"/>
      <w:jc w:val="right"/>
      <w:rPr>
        <w:rFonts w:ascii="Arial" w:hAnsi="Arial" w:cs="Arial"/>
        <w:b/>
        <w:color w:val="0054A1"/>
        <w:sz w:val="13"/>
        <w:szCs w:val="13"/>
        <w:bdr w:val="nil"/>
        <w:lang w:val="en-US"/>
      </w:rPr>
    </w:pPr>
    <w:r w:rsidRPr="00FF7457">
      <w:rPr>
        <w:rFonts w:ascii="Arial" w:hAnsi="Arial" w:cs="Arial"/>
        <w:noProof/>
        <w:bdr w:val="nil"/>
        <w:lang w:eastAsia="pt-BR"/>
      </w:rPr>
      <w:drawing>
        <wp:anchor distT="0" distB="0" distL="114300" distR="114300" simplePos="0" relativeHeight="251696128" behindDoc="1" locked="0" layoutInCell="1" allowOverlap="1">
          <wp:simplePos x="0" y="0"/>
          <wp:positionH relativeFrom="page">
            <wp:align>left</wp:align>
          </wp:positionH>
          <wp:positionV relativeFrom="page">
            <wp:align>top</wp:align>
          </wp:positionV>
          <wp:extent cx="10692130" cy="1166495"/>
          <wp:effectExtent l="0" t="0" r="0" b="0"/>
          <wp:wrapNone/>
          <wp:docPr id="1130595228"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970097" name="HeaderPaisagemFund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130" cy="1166495"/>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w:drawing>
        <wp:anchor distT="0" distB="0" distL="114300" distR="114300" simplePos="0" relativeHeight="251715584" behindDoc="1" locked="0" layoutInCell="1" allowOverlap="1">
          <wp:simplePos x="0" y="0"/>
          <wp:positionH relativeFrom="page">
            <wp:posOffset>0</wp:posOffset>
          </wp:positionH>
          <wp:positionV relativeFrom="page">
            <wp:posOffset>0</wp:posOffset>
          </wp:positionV>
          <wp:extent cx="10692000" cy="1170000"/>
          <wp:effectExtent l="0" t="0" r="0" b="0"/>
          <wp:wrapNone/>
          <wp:docPr id="199839278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415428" name="Imagem 5"/>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10692000" cy="1170000"/>
                  </a:xfrm>
                  <a:prstGeom prst="rect">
                    <a:avLst/>
                  </a:prstGeom>
                  <a:noFill/>
                </pic:spPr>
              </pic:pic>
            </a:graphicData>
          </a:graphic>
          <wp14:sizeRelH relativeFrom="margin">
            <wp14:pctWidth>0</wp14:pctWidth>
          </wp14:sizeRelH>
          <wp14:sizeRelV relativeFrom="margin">
            <wp14:pctHeight>0</wp14:pctHeight>
          </wp14:sizeRelV>
        </wp:anchor>
      </w:drawing>
    </w:r>
    <w:r w:rsidRPr="00FF7457">
      <w:rPr>
        <w:rFonts w:ascii="Arial" w:hAnsi="Arial" w:cs="Arial"/>
        <w:noProof/>
        <w:bdr w:val="nil"/>
        <w:lang w:eastAsia="pt-BR"/>
      </w:rPr>
      <mc:AlternateContent>
        <mc:Choice Requires="wpg">
          <w:drawing>
            <wp:anchor distT="0" distB="0" distL="114300" distR="114300" simplePos="0" relativeHeight="251756544" behindDoc="1" locked="0" layoutInCell="1" allowOverlap="1">
              <wp:simplePos x="0" y="0"/>
              <wp:positionH relativeFrom="page">
                <wp:posOffset>0</wp:posOffset>
              </wp:positionH>
              <wp:positionV relativeFrom="page">
                <wp:posOffset>10808970</wp:posOffset>
              </wp:positionV>
              <wp:extent cx="7559675" cy="1137285"/>
              <wp:effectExtent l="0" t="0" r="3175" b="5715"/>
              <wp:wrapNone/>
              <wp:docPr id="169554902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653303986"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375111659"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Agrupar 9" o:spid="_x0000_s2112"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560960" coordorigin="0,0" coordsize="21600,2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13" type="#_x0000_t75" style="width:21600;height:21600;position:absolute">
                <v:imagedata r:id="rId5" o:title=""/>
              </v:shape>
              <v:shape id="_x0000_s2114" type="#_x0000_t75" style="width:21600;height:21600;position:absolute" filled="f" stroked="f">
                <v:imagedata r:id="rId6" o:title=""/>
              </v:shape>
            </v:group>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CE2" w:rsidRDefault="00566CE2">
    <w:pPr>
      <w:pBdr>
        <w:top w:val="nil"/>
        <w:left w:val="nil"/>
        <w:bottom w:val="nil"/>
        <w:right w:val="nil"/>
        <w:between w:val="nil"/>
        <w:bar w:val="nil"/>
      </w:pBdr>
      <w:spacing w:before="0" w:after="200"/>
      <w:jc w:val="left"/>
      <w:rPr>
        <w:bdr w:val="ni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9"/>
    <w:multiLevelType w:val="hybridMultilevel"/>
    <w:tmpl w:val="F23CAFB0"/>
    <w:lvl w:ilvl="0" w:tplc="A1C446D0">
      <w:start w:val="1"/>
      <w:numFmt w:val="bullet"/>
      <w:lvlText w:val=""/>
      <w:lvlJc w:val="left"/>
      <w:pPr>
        <w:ind w:left="837" w:hanging="361"/>
      </w:pPr>
      <w:rPr>
        <w:rFonts w:ascii="Symbol" w:eastAsia="Symbol" w:hAnsi="Symbol" w:hint="default"/>
        <w:sz w:val="20"/>
        <w:szCs w:val="20"/>
      </w:rPr>
    </w:lvl>
    <w:lvl w:ilvl="1" w:tplc="07CC74A0">
      <w:start w:val="1"/>
      <w:numFmt w:val="bullet"/>
      <w:lvlText w:val=""/>
      <w:lvlJc w:val="left"/>
      <w:pPr>
        <w:ind w:left="837" w:hanging="284"/>
      </w:pPr>
      <w:rPr>
        <w:rFonts w:ascii="Symbol" w:eastAsia="Symbol" w:hAnsi="Symbol" w:hint="default"/>
        <w:sz w:val="24"/>
        <w:szCs w:val="24"/>
      </w:rPr>
    </w:lvl>
    <w:lvl w:ilvl="2" w:tplc="8AAE95F4">
      <w:start w:val="1"/>
      <w:numFmt w:val="bullet"/>
      <w:lvlText w:val="•"/>
      <w:lvlJc w:val="left"/>
      <w:pPr>
        <w:ind w:left="2731" w:hanging="284"/>
      </w:pPr>
      <w:rPr>
        <w:rFonts w:hint="default"/>
      </w:rPr>
    </w:lvl>
    <w:lvl w:ilvl="3" w:tplc="4EA2118A">
      <w:start w:val="1"/>
      <w:numFmt w:val="bullet"/>
      <w:lvlText w:val="•"/>
      <w:lvlJc w:val="left"/>
      <w:pPr>
        <w:ind w:left="3678" w:hanging="284"/>
      </w:pPr>
      <w:rPr>
        <w:rFonts w:hint="default"/>
      </w:rPr>
    </w:lvl>
    <w:lvl w:ilvl="4" w:tplc="356A87AC">
      <w:start w:val="1"/>
      <w:numFmt w:val="bullet"/>
      <w:lvlText w:val="•"/>
      <w:lvlJc w:val="left"/>
      <w:pPr>
        <w:ind w:left="4625" w:hanging="284"/>
      </w:pPr>
      <w:rPr>
        <w:rFonts w:hint="default"/>
      </w:rPr>
    </w:lvl>
    <w:lvl w:ilvl="5" w:tplc="4A1EEF0C">
      <w:start w:val="1"/>
      <w:numFmt w:val="bullet"/>
      <w:lvlText w:val="•"/>
      <w:lvlJc w:val="left"/>
      <w:pPr>
        <w:ind w:left="5572" w:hanging="284"/>
      </w:pPr>
      <w:rPr>
        <w:rFonts w:hint="default"/>
      </w:rPr>
    </w:lvl>
    <w:lvl w:ilvl="6" w:tplc="30104DB2">
      <w:start w:val="1"/>
      <w:numFmt w:val="bullet"/>
      <w:lvlText w:val="•"/>
      <w:lvlJc w:val="left"/>
      <w:pPr>
        <w:ind w:left="6519" w:hanging="284"/>
      </w:pPr>
      <w:rPr>
        <w:rFonts w:hint="default"/>
      </w:rPr>
    </w:lvl>
    <w:lvl w:ilvl="7" w:tplc="0CE4ED0A">
      <w:start w:val="1"/>
      <w:numFmt w:val="bullet"/>
      <w:lvlText w:val="•"/>
      <w:lvlJc w:val="left"/>
      <w:pPr>
        <w:ind w:left="7466" w:hanging="284"/>
      </w:pPr>
      <w:rPr>
        <w:rFonts w:hint="default"/>
      </w:rPr>
    </w:lvl>
    <w:lvl w:ilvl="8" w:tplc="22E4F792">
      <w:start w:val="1"/>
      <w:numFmt w:val="bullet"/>
      <w:lvlText w:val="•"/>
      <w:lvlJc w:val="left"/>
      <w:pPr>
        <w:ind w:left="8413" w:hanging="284"/>
      </w:pPr>
      <w:rPr>
        <w:rFonts w:hint="default"/>
      </w:rPr>
    </w:lvl>
  </w:abstractNum>
  <w:abstractNum w:abstractNumId="1" w15:restartNumberingAfterBreak="0">
    <w:nsid w:val="042529FA"/>
    <w:multiLevelType w:val="hybridMultilevel"/>
    <w:tmpl w:val="9504441C"/>
    <w:lvl w:ilvl="0" w:tplc="1898E8AC">
      <w:start w:val="1"/>
      <w:numFmt w:val="lowerLetter"/>
      <w:lvlText w:val="%1."/>
      <w:lvlJc w:val="left"/>
      <w:pPr>
        <w:tabs>
          <w:tab w:val="num" w:pos="720"/>
        </w:tabs>
        <w:ind w:left="720" w:hanging="360"/>
      </w:pPr>
    </w:lvl>
    <w:lvl w:ilvl="1" w:tplc="90220D64">
      <w:start w:val="1"/>
      <w:numFmt w:val="lowerLetter"/>
      <w:lvlText w:val="%2."/>
      <w:lvlJc w:val="left"/>
      <w:pPr>
        <w:tabs>
          <w:tab w:val="num" w:pos="1440"/>
        </w:tabs>
        <w:ind w:left="1440" w:hanging="360"/>
      </w:pPr>
    </w:lvl>
    <w:lvl w:ilvl="2" w:tplc="2E061D90">
      <w:start w:val="1"/>
      <w:numFmt w:val="lowerRoman"/>
      <w:lvlText w:val="%3."/>
      <w:lvlJc w:val="right"/>
      <w:pPr>
        <w:tabs>
          <w:tab w:val="num" w:pos="2160"/>
        </w:tabs>
        <w:ind w:left="2160" w:hanging="180"/>
      </w:pPr>
    </w:lvl>
    <w:lvl w:ilvl="3" w:tplc="5FB61D8C">
      <w:start w:val="1"/>
      <w:numFmt w:val="decimal"/>
      <w:lvlText w:val="%4."/>
      <w:lvlJc w:val="left"/>
      <w:pPr>
        <w:tabs>
          <w:tab w:val="num" w:pos="2880"/>
        </w:tabs>
        <w:ind w:left="2880" w:hanging="360"/>
      </w:pPr>
    </w:lvl>
    <w:lvl w:ilvl="4" w:tplc="E722C238">
      <w:start w:val="1"/>
      <w:numFmt w:val="lowerLetter"/>
      <w:lvlText w:val="%5."/>
      <w:lvlJc w:val="left"/>
      <w:pPr>
        <w:tabs>
          <w:tab w:val="num" w:pos="3600"/>
        </w:tabs>
        <w:ind w:left="3600" w:hanging="360"/>
      </w:pPr>
    </w:lvl>
    <w:lvl w:ilvl="5" w:tplc="5DCE25F6">
      <w:start w:val="1"/>
      <w:numFmt w:val="lowerRoman"/>
      <w:lvlText w:val="%6."/>
      <w:lvlJc w:val="right"/>
      <w:pPr>
        <w:tabs>
          <w:tab w:val="num" w:pos="4320"/>
        </w:tabs>
        <w:ind w:left="4320" w:hanging="180"/>
      </w:pPr>
    </w:lvl>
    <w:lvl w:ilvl="6" w:tplc="B6124D4E">
      <w:start w:val="1"/>
      <w:numFmt w:val="decimal"/>
      <w:lvlText w:val="%7."/>
      <w:lvlJc w:val="left"/>
      <w:pPr>
        <w:tabs>
          <w:tab w:val="num" w:pos="5040"/>
        </w:tabs>
        <w:ind w:left="5040" w:hanging="360"/>
      </w:pPr>
    </w:lvl>
    <w:lvl w:ilvl="7" w:tplc="39E0CF00">
      <w:start w:val="1"/>
      <w:numFmt w:val="lowerLetter"/>
      <w:lvlText w:val="%8."/>
      <w:lvlJc w:val="left"/>
      <w:pPr>
        <w:tabs>
          <w:tab w:val="num" w:pos="5760"/>
        </w:tabs>
        <w:ind w:left="5760" w:hanging="360"/>
      </w:pPr>
    </w:lvl>
    <w:lvl w:ilvl="8" w:tplc="ACF6F11A">
      <w:start w:val="1"/>
      <w:numFmt w:val="lowerRoman"/>
      <w:lvlText w:val="%9."/>
      <w:lvlJc w:val="right"/>
      <w:pPr>
        <w:tabs>
          <w:tab w:val="num" w:pos="6480"/>
        </w:tabs>
        <w:ind w:left="6480" w:hanging="180"/>
      </w:pPr>
    </w:lvl>
  </w:abstractNum>
  <w:abstractNum w:abstractNumId="2" w15:restartNumberingAfterBreak="0">
    <w:nsid w:val="051F2395"/>
    <w:multiLevelType w:val="hybridMultilevel"/>
    <w:tmpl w:val="71C89EC8"/>
    <w:lvl w:ilvl="0" w:tplc="DF348266">
      <w:start w:val="1"/>
      <w:numFmt w:val="lowerLetter"/>
      <w:lvlText w:val="%1)"/>
      <w:lvlJc w:val="left"/>
      <w:pPr>
        <w:ind w:left="360" w:hanging="360"/>
      </w:pPr>
    </w:lvl>
    <w:lvl w:ilvl="1" w:tplc="FA066C08" w:tentative="1">
      <w:start w:val="1"/>
      <w:numFmt w:val="lowerLetter"/>
      <w:lvlText w:val="%2."/>
      <w:lvlJc w:val="left"/>
      <w:pPr>
        <w:ind w:left="1080" w:hanging="360"/>
      </w:pPr>
    </w:lvl>
    <w:lvl w:ilvl="2" w:tplc="F900F61A" w:tentative="1">
      <w:start w:val="1"/>
      <w:numFmt w:val="lowerRoman"/>
      <w:lvlText w:val="%3."/>
      <w:lvlJc w:val="right"/>
      <w:pPr>
        <w:ind w:left="1800" w:hanging="180"/>
      </w:pPr>
    </w:lvl>
    <w:lvl w:ilvl="3" w:tplc="FFCA9E18" w:tentative="1">
      <w:start w:val="1"/>
      <w:numFmt w:val="decimal"/>
      <w:lvlText w:val="%4."/>
      <w:lvlJc w:val="left"/>
      <w:pPr>
        <w:ind w:left="2520" w:hanging="360"/>
      </w:pPr>
    </w:lvl>
    <w:lvl w:ilvl="4" w:tplc="A53425F8" w:tentative="1">
      <w:start w:val="1"/>
      <w:numFmt w:val="lowerLetter"/>
      <w:lvlText w:val="%5."/>
      <w:lvlJc w:val="left"/>
      <w:pPr>
        <w:ind w:left="3240" w:hanging="360"/>
      </w:pPr>
    </w:lvl>
    <w:lvl w:ilvl="5" w:tplc="F79E2AA2" w:tentative="1">
      <w:start w:val="1"/>
      <w:numFmt w:val="lowerRoman"/>
      <w:lvlText w:val="%6."/>
      <w:lvlJc w:val="right"/>
      <w:pPr>
        <w:ind w:left="3960" w:hanging="180"/>
      </w:pPr>
    </w:lvl>
    <w:lvl w:ilvl="6" w:tplc="D352683A" w:tentative="1">
      <w:start w:val="1"/>
      <w:numFmt w:val="decimal"/>
      <w:lvlText w:val="%7."/>
      <w:lvlJc w:val="left"/>
      <w:pPr>
        <w:ind w:left="4680" w:hanging="360"/>
      </w:pPr>
    </w:lvl>
    <w:lvl w:ilvl="7" w:tplc="D37A6C2C" w:tentative="1">
      <w:start w:val="1"/>
      <w:numFmt w:val="lowerLetter"/>
      <w:lvlText w:val="%8."/>
      <w:lvlJc w:val="left"/>
      <w:pPr>
        <w:ind w:left="5400" w:hanging="360"/>
      </w:pPr>
    </w:lvl>
    <w:lvl w:ilvl="8" w:tplc="5C4061B2" w:tentative="1">
      <w:start w:val="1"/>
      <w:numFmt w:val="lowerRoman"/>
      <w:lvlText w:val="%9."/>
      <w:lvlJc w:val="right"/>
      <w:pPr>
        <w:ind w:left="6120" w:hanging="180"/>
      </w:pPr>
    </w:lvl>
  </w:abstractNum>
  <w:abstractNum w:abstractNumId="3" w15:restartNumberingAfterBreak="0">
    <w:nsid w:val="06EE0CBE"/>
    <w:multiLevelType w:val="hybridMultilevel"/>
    <w:tmpl w:val="EF24C9FC"/>
    <w:lvl w:ilvl="0" w:tplc="779E6CF8">
      <w:start w:val="1"/>
      <w:numFmt w:val="lowerLetter"/>
      <w:lvlText w:val="%1)"/>
      <w:lvlJc w:val="left"/>
      <w:pPr>
        <w:ind w:left="360" w:hanging="360"/>
      </w:pPr>
    </w:lvl>
    <w:lvl w:ilvl="1" w:tplc="FEFEE22A" w:tentative="1">
      <w:start w:val="1"/>
      <w:numFmt w:val="lowerLetter"/>
      <w:lvlText w:val="%2."/>
      <w:lvlJc w:val="left"/>
      <w:pPr>
        <w:ind w:left="1080" w:hanging="360"/>
      </w:pPr>
    </w:lvl>
    <w:lvl w:ilvl="2" w:tplc="0E24C472" w:tentative="1">
      <w:start w:val="1"/>
      <w:numFmt w:val="lowerRoman"/>
      <w:lvlText w:val="%3."/>
      <w:lvlJc w:val="right"/>
      <w:pPr>
        <w:ind w:left="1800" w:hanging="180"/>
      </w:pPr>
    </w:lvl>
    <w:lvl w:ilvl="3" w:tplc="E7949914" w:tentative="1">
      <w:start w:val="1"/>
      <w:numFmt w:val="decimal"/>
      <w:lvlText w:val="%4."/>
      <w:lvlJc w:val="left"/>
      <w:pPr>
        <w:ind w:left="2520" w:hanging="360"/>
      </w:pPr>
    </w:lvl>
    <w:lvl w:ilvl="4" w:tplc="2EEC8CB2" w:tentative="1">
      <w:start w:val="1"/>
      <w:numFmt w:val="lowerLetter"/>
      <w:lvlText w:val="%5."/>
      <w:lvlJc w:val="left"/>
      <w:pPr>
        <w:ind w:left="3240" w:hanging="360"/>
      </w:pPr>
    </w:lvl>
    <w:lvl w:ilvl="5" w:tplc="1116DAAA" w:tentative="1">
      <w:start w:val="1"/>
      <w:numFmt w:val="lowerRoman"/>
      <w:lvlText w:val="%6."/>
      <w:lvlJc w:val="right"/>
      <w:pPr>
        <w:ind w:left="3960" w:hanging="180"/>
      </w:pPr>
    </w:lvl>
    <w:lvl w:ilvl="6" w:tplc="6D7A751A" w:tentative="1">
      <w:start w:val="1"/>
      <w:numFmt w:val="decimal"/>
      <w:lvlText w:val="%7."/>
      <w:lvlJc w:val="left"/>
      <w:pPr>
        <w:ind w:left="4680" w:hanging="360"/>
      </w:pPr>
    </w:lvl>
    <w:lvl w:ilvl="7" w:tplc="E8C0C93C" w:tentative="1">
      <w:start w:val="1"/>
      <w:numFmt w:val="lowerLetter"/>
      <w:lvlText w:val="%8."/>
      <w:lvlJc w:val="left"/>
      <w:pPr>
        <w:ind w:left="5400" w:hanging="360"/>
      </w:pPr>
    </w:lvl>
    <w:lvl w:ilvl="8" w:tplc="8F82DD9C" w:tentative="1">
      <w:start w:val="1"/>
      <w:numFmt w:val="lowerRoman"/>
      <w:lvlText w:val="%9."/>
      <w:lvlJc w:val="right"/>
      <w:pPr>
        <w:ind w:left="6120" w:hanging="180"/>
      </w:pPr>
    </w:lvl>
  </w:abstractNum>
  <w:abstractNum w:abstractNumId="4" w15:restartNumberingAfterBreak="0">
    <w:nsid w:val="11261E63"/>
    <w:multiLevelType w:val="hybridMultilevel"/>
    <w:tmpl w:val="7700AB6E"/>
    <w:lvl w:ilvl="0" w:tplc="E5BAA584">
      <w:start w:val="1"/>
      <w:numFmt w:val="decimal"/>
      <w:lvlText w:val="(%1)"/>
      <w:lvlJc w:val="left"/>
      <w:pPr>
        <w:ind w:left="360" w:hanging="360"/>
      </w:pPr>
      <w:rPr>
        <w:rFonts w:hint="default"/>
      </w:rPr>
    </w:lvl>
    <w:lvl w:ilvl="1" w:tplc="67628FD8" w:tentative="1">
      <w:start w:val="1"/>
      <w:numFmt w:val="lowerLetter"/>
      <w:lvlText w:val="%2."/>
      <w:lvlJc w:val="left"/>
      <w:pPr>
        <w:ind w:left="1080" w:hanging="360"/>
      </w:pPr>
    </w:lvl>
    <w:lvl w:ilvl="2" w:tplc="F3EE8BC2" w:tentative="1">
      <w:start w:val="1"/>
      <w:numFmt w:val="lowerRoman"/>
      <w:lvlText w:val="%3."/>
      <w:lvlJc w:val="right"/>
      <w:pPr>
        <w:ind w:left="1800" w:hanging="180"/>
      </w:pPr>
    </w:lvl>
    <w:lvl w:ilvl="3" w:tplc="F210DD88" w:tentative="1">
      <w:start w:val="1"/>
      <w:numFmt w:val="decimal"/>
      <w:lvlText w:val="%4."/>
      <w:lvlJc w:val="left"/>
      <w:pPr>
        <w:ind w:left="2520" w:hanging="360"/>
      </w:pPr>
    </w:lvl>
    <w:lvl w:ilvl="4" w:tplc="3AFAF1FE" w:tentative="1">
      <w:start w:val="1"/>
      <w:numFmt w:val="lowerLetter"/>
      <w:lvlText w:val="%5."/>
      <w:lvlJc w:val="left"/>
      <w:pPr>
        <w:ind w:left="3240" w:hanging="360"/>
      </w:pPr>
    </w:lvl>
    <w:lvl w:ilvl="5" w:tplc="41BAEFF6" w:tentative="1">
      <w:start w:val="1"/>
      <w:numFmt w:val="lowerRoman"/>
      <w:lvlText w:val="%6."/>
      <w:lvlJc w:val="right"/>
      <w:pPr>
        <w:ind w:left="3960" w:hanging="180"/>
      </w:pPr>
    </w:lvl>
    <w:lvl w:ilvl="6" w:tplc="6706EA0E" w:tentative="1">
      <w:start w:val="1"/>
      <w:numFmt w:val="decimal"/>
      <w:lvlText w:val="%7."/>
      <w:lvlJc w:val="left"/>
      <w:pPr>
        <w:ind w:left="4680" w:hanging="360"/>
      </w:pPr>
    </w:lvl>
    <w:lvl w:ilvl="7" w:tplc="D8780E42" w:tentative="1">
      <w:start w:val="1"/>
      <w:numFmt w:val="lowerLetter"/>
      <w:lvlText w:val="%8."/>
      <w:lvlJc w:val="left"/>
      <w:pPr>
        <w:ind w:left="5400" w:hanging="360"/>
      </w:pPr>
    </w:lvl>
    <w:lvl w:ilvl="8" w:tplc="3AECC142" w:tentative="1">
      <w:start w:val="1"/>
      <w:numFmt w:val="lowerRoman"/>
      <w:lvlText w:val="%9."/>
      <w:lvlJc w:val="right"/>
      <w:pPr>
        <w:ind w:left="6120" w:hanging="180"/>
      </w:pPr>
    </w:lvl>
  </w:abstractNum>
  <w:abstractNum w:abstractNumId="5" w15:restartNumberingAfterBreak="0">
    <w:nsid w:val="17455D5F"/>
    <w:multiLevelType w:val="multilevel"/>
    <w:tmpl w:val="7B1AF5BC"/>
    <w:lvl w:ilvl="0">
      <w:start w:val="1"/>
      <w:numFmt w:val="decimal"/>
      <w:lvlText w:val="%1 – "/>
      <w:lvlJc w:val="left"/>
      <w:pPr>
        <w:ind w:left="454" w:hanging="454"/>
      </w:pPr>
      <w:rPr>
        <w:rFonts w:ascii="Arial" w:hAnsi="Arial" w:cs="Times New Roman" w:hint="default"/>
        <w:sz w:val="20"/>
      </w:rPr>
    </w:lvl>
    <w:lvl w:ilvl="1">
      <w:start w:val="1"/>
      <w:numFmt w:val="lowerLetter"/>
      <w:pStyle w:val="03-SubttulodeNota"/>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6" w15:restartNumberingAfterBreak="0">
    <w:nsid w:val="178B5EB3"/>
    <w:multiLevelType w:val="hybridMultilevel"/>
    <w:tmpl w:val="FD544338"/>
    <w:lvl w:ilvl="0" w:tplc="CDA6F002">
      <w:start w:val="1"/>
      <w:numFmt w:val="decimal"/>
      <w:lvlText w:val="(%1)"/>
      <w:lvlJc w:val="left"/>
      <w:pPr>
        <w:ind w:left="360" w:hanging="360"/>
      </w:pPr>
      <w:rPr>
        <w:rFonts w:hint="default"/>
      </w:rPr>
    </w:lvl>
    <w:lvl w:ilvl="1" w:tplc="3850DBF0" w:tentative="1">
      <w:start w:val="1"/>
      <w:numFmt w:val="lowerLetter"/>
      <w:lvlText w:val="%2."/>
      <w:lvlJc w:val="left"/>
      <w:pPr>
        <w:ind w:left="1080" w:hanging="360"/>
      </w:pPr>
    </w:lvl>
    <w:lvl w:ilvl="2" w:tplc="046886D6" w:tentative="1">
      <w:start w:val="1"/>
      <w:numFmt w:val="lowerRoman"/>
      <w:lvlText w:val="%3."/>
      <w:lvlJc w:val="right"/>
      <w:pPr>
        <w:ind w:left="1800" w:hanging="180"/>
      </w:pPr>
    </w:lvl>
    <w:lvl w:ilvl="3" w:tplc="40FC813A" w:tentative="1">
      <w:start w:val="1"/>
      <w:numFmt w:val="decimal"/>
      <w:lvlText w:val="%4."/>
      <w:lvlJc w:val="left"/>
      <w:pPr>
        <w:ind w:left="2520" w:hanging="360"/>
      </w:pPr>
    </w:lvl>
    <w:lvl w:ilvl="4" w:tplc="F1C6003E" w:tentative="1">
      <w:start w:val="1"/>
      <w:numFmt w:val="lowerLetter"/>
      <w:lvlText w:val="%5."/>
      <w:lvlJc w:val="left"/>
      <w:pPr>
        <w:ind w:left="3240" w:hanging="360"/>
      </w:pPr>
    </w:lvl>
    <w:lvl w:ilvl="5" w:tplc="B736107C" w:tentative="1">
      <w:start w:val="1"/>
      <w:numFmt w:val="lowerRoman"/>
      <w:lvlText w:val="%6."/>
      <w:lvlJc w:val="right"/>
      <w:pPr>
        <w:ind w:left="3960" w:hanging="180"/>
      </w:pPr>
    </w:lvl>
    <w:lvl w:ilvl="6" w:tplc="E57E9F74" w:tentative="1">
      <w:start w:val="1"/>
      <w:numFmt w:val="decimal"/>
      <w:lvlText w:val="%7."/>
      <w:lvlJc w:val="left"/>
      <w:pPr>
        <w:ind w:left="4680" w:hanging="360"/>
      </w:pPr>
    </w:lvl>
    <w:lvl w:ilvl="7" w:tplc="C2527B74" w:tentative="1">
      <w:start w:val="1"/>
      <w:numFmt w:val="lowerLetter"/>
      <w:lvlText w:val="%8."/>
      <w:lvlJc w:val="left"/>
      <w:pPr>
        <w:ind w:left="5400" w:hanging="360"/>
      </w:pPr>
    </w:lvl>
    <w:lvl w:ilvl="8" w:tplc="8D8470A4" w:tentative="1">
      <w:start w:val="1"/>
      <w:numFmt w:val="lowerRoman"/>
      <w:lvlText w:val="%9."/>
      <w:lvlJc w:val="right"/>
      <w:pPr>
        <w:ind w:left="6120" w:hanging="180"/>
      </w:pPr>
    </w:lvl>
  </w:abstractNum>
  <w:abstractNum w:abstractNumId="7" w15:restartNumberingAfterBreak="0">
    <w:nsid w:val="37766697"/>
    <w:multiLevelType w:val="hybridMultilevel"/>
    <w:tmpl w:val="2D80041E"/>
    <w:lvl w:ilvl="0" w:tplc="B62E7C5E">
      <w:start w:val="1"/>
      <w:numFmt w:val="decimal"/>
      <w:lvlText w:val="(%1)"/>
      <w:lvlJc w:val="left"/>
      <w:pPr>
        <w:ind w:left="360" w:hanging="360"/>
      </w:pPr>
      <w:rPr>
        <w:rFonts w:hint="default"/>
      </w:rPr>
    </w:lvl>
    <w:lvl w:ilvl="1" w:tplc="8C763490" w:tentative="1">
      <w:start w:val="1"/>
      <w:numFmt w:val="lowerLetter"/>
      <w:lvlText w:val="%2."/>
      <w:lvlJc w:val="left"/>
      <w:pPr>
        <w:ind w:left="1080" w:hanging="360"/>
      </w:pPr>
    </w:lvl>
    <w:lvl w:ilvl="2" w:tplc="D96EEC34" w:tentative="1">
      <w:start w:val="1"/>
      <w:numFmt w:val="lowerRoman"/>
      <w:lvlText w:val="%3."/>
      <w:lvlJc w:val="right"/>
      <w:pPr>
        <w:ind w:left="1800" w:hanging="180"/>
      </w:pPr>
    </w:lvl>
    <w:lvl w:ilvl="3" w:tplc="13DE6F0E" w:tentative="1">
      <w:start w:val="1"/>
      <w:numFmt w:val="decimal"/>
      <w:lvlText w:val="%4."/>
      <w:lvlJc w:val="left"/>
      <w:pPr>
        <w:ind w:left="2520" w:hanging="360"/>
      </w:pPr>
    </w:lvl>
    <w:lvl w:ilvl="4" w:tplc="EE9461FC" w:tentative="1">
      <w:start w:val="1"/>
      <w:numFmt w:val="lowerLetter"/>
      <w:lvlText w:val="%5."/>
      <w:lvlJc w:val="left"/>
      <w:pPr>
        <w:ind w:left="3240" w:hanging="360"/>
      </w:pPr>
    </w:lvl>
    <w:lvl w:ilvl="5" w:tplc="68060990" w:tentative="1">
      <w:start w:val="1"/>
      <w:numFmt w:val="lowerRoman"/>
      <w:lvlText w:val="%6."/>
      <w:lvlJc w:val="right"/>
      <w:pPr>
        <w:ind w:left="3960" w:hanging="180"/>
      </w:pPr>
    </w:lvl>
    <w:lvl w:ilvl="6" w:tplc="5AE2F37E" w:tentative="1">
      <w:start w:val="1"/>
      <w:numFmt w:val="decimal"/>
      <w:lvlText w:val="%7."/>
      <w:lvlJc w:val="left"/>
      <w:pPr>
        <w:ind w:left="4680" w:hanging="360"/>
      </w:pPr>
    </w:lvl>
    <w:lvl w:ilvl="7" w:tplc="E388543A" w:tentative="1">
      <w:start w:val="1"/>
      <w:numFmt w:val="lowerLetter"/>
      <w:lvlText w:val="%8."/>
      <w:lvlJc w:val="left"/>
      <w:pPr>
        <w:ind w:left="5400" w:hanging="360"/>
      </w:pPr>
    </w:lvl>
    <w:lvl w:ilvl="8" w:tplc="9C9806D8" w:tentative="1">
      <w:start w:val="1"/>
      <w:numFmt w:val="lowerRoman"/>
      <w:lvlText w:val="%9."/>
      <w:lvlJc w:val="right"/>
      <w:pPr>
        <w:ind w:left="6120" w:hanging="180"/>
      </w:pPr>
    </w:lvl>
  </w:abstractNum>
  <w:abstractNum w:abstractNumId="8" w15:restartNumberingAfterBreak="0">
    <w:nsid w:val="3FE62637"/>
    <w:multiLevelType w:val="hybridMultilevel"/>
    <w:tmpl w:val="2B4A06D0"/>
    <w:lvl w:ilvl="0" w:tplc="E91EE690">
      <w:start w:val="1"/>
      <w:numFmt w:val="decimal"/>
      <w:lvlText w:val="(%1)"/>
      <w:lvlJc w:val="left"/>
      <w:pPr>
        <w:ind w:left="360" w:hanging="360"/>
      </w:pPr>
      <w:rPr>
        <w:rFonts w:hint="default"/>
      </w:rPr>
    </w:lvl>
    <w:lvl w:ilvl="1" w:tplc="9DD43958" w:tentative="1">
      <w:start w:val="1"/>
      <w:numFmt w:val="lowerLetter"/>
      <w:lvlText w:val="%2."/>
      <w:lvlJc w:val="left"/>
      <w:pPr>
        <w:ind w:left="1080" w:hanging="360"/>
      </w:pPr>
    </w:lvl>
    <w:lvl w:ilvl="2" w:tplc="76ECC57C" w:tentative="1">
      <w:start w:val="1"/>
      <w:numFmt w:val="lowerRoman"/>
      <w:lvlText w:val="%3."/>
      <w:lvlJc w:val="right"/>
      <w:pPr>
        <w:ind w:left="1800" w:hanging="180"/>
      </w:pPr>
    </w:lvl>
    <w:lvl w:ilvl="3" w:tplc="D54A06A8" w:tentative="1">
      <w:start w:val="1"/>
      <w:numFmt w:val="decimal"/>
      <w:lvlText w:val="%4."/>
      <w:lvlJc w:val="left"/>
      <w:pPr>
        <w:ind w:left="2520" w:hanging="360"/>
      </w:pPr>
    </w:lvl>
    <w:lvl w:ilvl="4" w:tplc="B466319C" w:tentative="1">
      <w:start w:val="1"/>
      <w:numFmt w:val="lowerLetter"/>
      <w:lvlText w:val="%5."/>
      <w:lvlJc w:val="left"/>
      <w:pPr>
        <w:ind w:left="3240" w:hanging="360"/>
      </w:pPr>
    </w:lvl>
    <w:lvl w:ilvl="5" w:tplc="904663F0" w:tentative="1">
      <w:start w:val="1"/>
      <w:numFmt w:val="lowerRoman"/>
      <w:lvlText w:val="%6."/>
      <w:lvlJc w:val="right"/>
      <w:pPr>
        <w:ind w:left="3960" w:hanging="180"/>
      </w:pPr>
    </w:lvl>
    <w:lvl w:ilvl="6" w:tplc="44E0C616" w:tentative="1">
      <w:start w:val="1"/>
      <w:numFmt w:val="decimal"/>
      <w:lvlText w:val="%7."/>
      <w:lvlJc w:val="left"/>
      <w:pPr>
        <w:ind w:left="4680" w:hanging="360"/>
      </w:pPr>
    </w:lvl>
    <w:lvl w:ilvl="7" w:tplc="AE12987C" w:tentative="1">
      <w:start w:val="1"/>
      <w:numFmt w:val="lowerLetter"/>
      <w:lvlText w:val="%8."/>
      <w:lvlJc w:val="left"/>
      <w:pPr>
        <w:ind w:left="5400" w:hanging="360"/>
      </w:pPr>
    </w:lvl>
    <w:lvl w:ilvl="8" w:tplc="66F42AA4" w:tentative="1">
      <w:start w:val="1"/>
      <w:numFmt w:val="lowerRoman"/>
      <w:lvlText w:val="%9."/>
      <w:lvlJc w:val="right"/>
      <w:pPr>
        <w:ind w:left="6120" w:hanging="180"/>
      </w:pPr>
    </w:lvl>
  </w:abstractNum>
  <w:abstractNum w:abstractNumId="9" w15:restartNumberingAfterBreak="0">
    <w:nsid w:val="45ED60AA"/>
    <w:multiLevelType w:val="hybridMultilevel"/>
    <w:tmpl w:val="39BEC010"/>
    <w:lvl w:ilvl="0" w:tplc="7E1453D0">
      <w:start w:val="1"/>
      <w:numFmt w:val="lowerLetter"/>
      <w:lvlText w:val="%1)"/>
      <w:lvlJc w:val="left"/>
      <w:pPr>
        <w:ind w:left="360" w:hanging="360"/>
      </w:pPr>
    </w:lvl>
    <w:lvl w:ilvl="1" w:tplc="ED4E8DCE" w:tentative="1">
      <w:start w:val="1"/>
      <w:numFmt w:val="lowerLetter"/>
      <w:lvlText w:val="%2."/>
      <w:lvlJc w:val="left"/>
      <w:pPr>
        <w:ind w:left="1080" w:hanging="360"/>
      </w:pPr>
    </w:lvl>
    <w:lvl w:ilvl="2" w:tplc="AEDEF37C" w:tentative="1">
      <w:start w:val="1"/>
      <w:numFmt w:val="lowerRoman"/>
      <w:lvlText w:val="%3."/>
      <w:lvlJc w:val="right"/>
      <w:pPr>
        <w:ind w:left="1800" w:hanging="180"/>
      </w:pPr>
    </w:lvl>
    <w:lvl w:ilvl="3" w:tplc="8070CFB4" w:tentative="1">
      <w:start w:val="1"/>
      <w:numFmt w:val="decimal"/>
      <w:lvlText w:val="%4."/>
      <w:lvlJc w:val="left"/>
      <w:pPr>
        <w:ind w:left="2520" w:hanging="360"/>
      </w:pPr>
    </w:lvl>
    <w:lvl w:ilvl="4" w:tplc="CF323696" w:tentative="1">
      <w:start w:val="1"/>
      <w:numFmt w:val="lowerLetter"/>
      <w:lvlText w:val="%5."/>
      <w:lvlJc w:val="left"/>
      <w:pPr>
        <w:ind w:left="3240" w:hanging="360"/>
      </w:pPr>
    </w:lvl>
    <w:lvl w:ilvl="5" w:tplc="97D40AAA" w:tentative="1">
      <w:start w:val="1"/>
      <w:numFmt w:val="lowerRoman"/>
      <w:lvlText w:val="%6."/>
      <w:lvlJc w:val="right"/>
      <w:pPr>
        <w:ind w:left="3960" w:hanging="180"/>
      </w:pPr>
    </w:lvl>
    <w:lvl w:ilvl="6" w:tplc="6AD83D68" w:tentative="1">
      <w:start w:val="1"/>
      <w:numFmt w:val="decimal"/>
      <w:lvlText w:val="%7."/>
      <w:lvlJc w:val="left"/>
      <w:pPr>
        <w:ind w:left="4680" w:hanging="360"/>
      </w:pPr>
    </w:lvl>
    <w:lvl w:ilvl="7" w:tplc="4BA8EDEE" w:tentative="1">
      <w:start w:val="1"/>
      <w:numFmt w:val="lowerLetter"/>
      <w:lvlText w:val="%8."/>
      <w:lvlJc w:val="left"/>
      <w:pPr>
        <w:ind w:left="5400" w:hanging="360"/>
      </w:pPr>
    </w:lvl>
    <w:lvl w:ilvl="8" w:tplc="51FE0164" w:tentative="1">
      <w:start w:val="1"/>
      <w:numFmt w:val="lowerRoman"/>
      <w:lvlText w:val="%9."/>
      <w:lvlJc w:val="right"/>
      <w:pPr>
        <w:ind w:left="6120" w:hanging="180"/>
      </w:pPr>
    </w:lvl>
  </w:abstractNum>
  <w:abstractNum w:abstractNumId="10" w15:restartNumberingAfterBreak="0">
    <w:nsid w:val="4F4B3862"/>
    <w:multiLevelType w:val="hybridMultilevel"/>
    <w:tmpl w:val="9BFA6B40"/>
    <w:lvl w:ilvl="0" w:tplc="9CB2C5DC">
      <w:start w:val="1"/>
      <w:numFmt w:val="decimal"/>
      <w:lvlText w:val="(%1)"/>
      <w:lvlJc w:val="left"/>
      <w:pPr>
        <w:ind w:left="360" w:hanging="360"/>
      </w:pPr>
      <w:rPr>
        <w:rFonts w:hint="default"/>
        <w:b w:val="0"/>
      </w:rPr>
    </w:lvl>
    <w:lvl w:ilvl="1" w:tplc="39BADE82" w:tentative="1">
      <w:start w:val="1"/>
      <w:numFmt w:val="lowerLetter"/>
      <w:lvlText w:val="%2."/>
      <w:lvlJc w:val="left"/>
      <w:pPr>
        <w:ind w:left="1080" w:hanging="360"/>
      </w:pPr>
    </w:lvl>
    <w:lvl w:ilvl="2" w:tplc="9EFCD860" w:tentative="1">
      <w:start w:val="1"/>
      <w:numFmt w:val="lowerRoman"/>
      <w:lvlText w:val="%3."/>
      <w:lvlJc w:val="right"/>
      <w:pPr>
        <w:ind w:left="1800" w:hanging="180"/>
      </w:pPr>
    </w:lvl>
    <w:lvl w:ilvl="3" w:tplc="62EE9E20" w:tentative="1">
      <w:start w:val="1"/>
      <w:numFmt w:val="decimal"/>
      <w:lvlText w:val="%4."/>
      <w:lvlJc w:val="left"/>
      <w:pPr>
        <w:ind w:left="2520" w:hanging="360"/>
      </w:pPr>
    </w:lvl>
    <w:lvl w:ilvl="4" w:tplc="C76C3502" w:tentative="1">
      <w:start w:val="1"/>
      <w:numFmt w:val="lowerLetter"/>
      <w:lvlText w:val="%5."/>
      <w:lvlJc w:val="left"/>
      <w:pPr>
        <w:ind w:left="3240" w:hanging="360"/>
      </w:pPr>
    </w:lvl>
    <w:lvl w:ilvl="5" w:tplc="ECFE7BEA" w:tentative="1">
      <w:start w:val="1"/>
      <w:numFmt w:val="lowerRoman"/>
      <w:lvlText w:val="%6."/>
      <w:lvlJc w:val="right"/>
      <w:pPr>
        <w:ind w:left="3960" w:hanging="180"/>
      </w:pPr>
    </w:lvl>
    <w:lvl w:ilvl="6" w:tplc="41A02204" w:tentative="1">
      <w:start w:val="1"/>
      <w:numFmt w:val="decimal"/>
      <w:lvlText w:val="%7."/>
      <w:lvlJc w:val="left"/>
      <w:pPr>
        <w:ind w:left="4680" w:hanging="360"/>
      </w:pPr>
    </w:lvl>
    <w:lvl w:ilvl="7" w:tplc="3B9067DE" w:tentative="1">
      <w:start w:val="1"/>
      <w:numFmt w:val="lowerLetter"/>
      <w:lvlText w:val="%8."/>
      <w:lvlJc w:val="left"/>
      <w:pPr>
        <w:ind w:left="5400" w:hanging="360"/>
      </w:pPr>
    </w:lvl>
    <w:lvl w:ilvl="8" w:tplc="2AB00B5A" w:tentative="1">
      <w:start w:val="1"/>
      <w:numFmt w:val="lowerRoman"/>
      <w:lvlText w:val="%9."/>
      <w:lvlJc w:val="right"/>
      <w:pPr>
        <w:ind w:left="6120" w:hanging="180"/>
      </w:pPr>
    </w:lvl>
  </w:abstractNum>
  <w:abstractNum w:abstractNumId="11" w15:restartNumberingAfterBreak="0">
    <w:nsid w:val="4F512BA9"/>
    <w:multiLevelType w:val="hybridMultilevel"/>
    <w:tmpl w:val="5D866376"/>
    <w:lvl w:ilvl="0" w:tplc="0B0C2D74">
      <w:start w:val="1"/>
      <w:numFmt w:val="lowerLetter"/>
      <w:lvlText w:val="%1)"/>
      <w:lvlJc w:val="left"/>
      <w:pPr>
        <w:ind w:left="360" w:hanging="360"/>
      </w:pPr>
    </w:lvl>
    <w:lvl w:ilvl="1" w:tplc="3C8AD3DA" w:tentative="1">
      <w:start w:val="1"/>
      <w:numFmt w:val="lowerLetter"/>
      <w:lvlText w:val="%2."/>
      <w:lvlJc w:val="left"/>
      <w:pPr>
        <w:ind w:left="1080" w:hanging="360"/>
      </w:pPr>
    </w:lvl>
    <w:lvl w:ilvl="2" w:tplc="F5208736" w:tentative="1">
      <w:start w:val="1"/>
      <w:numFmt w:val="lowerRoman"/>
      <w:lvlText w:val="%3."/>
      <w:lvlJc w:val="right"/>
      <w:pPr>
        <w:ind w:left="1800" w:hanging="180"/>
      </w:pPr>
    </w:lvl>
    <w:lvl w:ilvl="3" w:tplc="A6CA40AA" w:tentative="1">
      <w:start w:val="1"/>
      <w:numFmt w:val="decimal"/>
      <w:lvlText w:val="%4."/>
      <w:lvlJc w:val="left"/>
      <w:pPr>
        <w:ind w:left="2520" w:hanging="360"/>
      </w:pPr>
    </w:lvl>
    <w:lvl w:ilvl="4" w:tplc="413A9EEE" w:tentative="1">
      <w:start w:val="1"/>
      <w:numFmt w:val="lowerLetter"/>
      <w:lvlText w:val="%5."/>
      <w:lvlJc w:val="left"/>
      <w:pPr>
        <w:ind w:left="3240" w:hanging="360"/>
      </w:pPr>
    </w:lvl>
    <w:lvl w:ilvl="5" w:tplc="BB24C9F4" w:tentative="1">
      <w:start w:val="1"/>
      <w:numFmt w:val="lowerRoman"/>
      <w:lvlText w:val="%6."/>
      <w:lvlJc w:val="right"/>
      <w:pPr>
        <w:ind w:left="3960" w:hanging="180"/>
      </w:pPr>
    </w:lvl>
    <w:lvl w:ilvl="6" w:tplc="354E7902" w:tentative="1">
      <w:start w:val="1"/>
      <w:numFmt w:val="decimal"/>
      <w:lvlText w:val="%7."/>
      <w:lvlJc w:val="left"/>
      <w:pPr>
        <w:ind w:left="4680" w:hanging="360"/>
      </w:pPr>
    </w:lvl>
    <w:lvl w:ilvl="7" w:tplc="E1A0393C" w:tentative="1">
      <w:start w:val="1"/>
      <w:numFmt w:val="lowerLetter"/>
      <w:lvlText w:val="%8."/>
      <w:lvlJc w:val="left"/>
      <w:pPr>
        <w:ind w:left="5400" w:hanging="360"/>
      </w:pPr>
    </w:lvl>
    <w:lvl w:ilvl="8" w:tplc="0D4C62E8" w:tentative="1">
      <w:start w:val="1"/>
      <w:numFmt w:val="lowerRoman"/>
      <w:lvlText w:val="%9."/>
      <w:lvlJc w:val="right"/>
      <w:pPr>
        <w:ind w:left="6120" w:hanging="180"/>
      </w:pPr>
    </w:lvl>
  </w:abstractNum>
  <w:abstractNum w:abstractNumId="12" w15:restartNumberingAfterBreak="0">
    <w:nsid w:val="57397945"/>
    <w:multiLevelType w:val="hybridMultilevel"/>
    <w:tmpl w:val="89CA9B3C"/>
    <w:lvl w:ilvl="0" w:tplc="A69EA3E4">
      <w:start w:val="1"/>
      <w:numFmt w:val="decimal"/>
      <w:lvlText w:val="(%1)"/>
      <w:lvlJc w:val="left"/>
      <w:pPr>
        <w:ind w:left="720" w:hanging="360"/>
      </w:pPr>
      <w:rPr>
        <w:rFonts w:hint="default"/>
      </w:rPr>
    </w:lvl>
    <w:lvl w:ilvl="1" w:tplc="03869EB0" w:tentative="1">
      <w:start w:val="1"/>
      <w:numFmt w:val="lowerLetter"/>
      <w:lvlText w:val="%2."/>
      <w:lvlJc w:val="left"/>
      <w:pPr>
        <w:ind w:left="1440" w:hanging="360"/>
      </w:pPr>
    </w:lvl>
    <w:lvl w:ilvl="2" w:tplc="75A4B586" w:tentative="1">
      <w:start w:val="1"/>
      <w:numFmt w:val="lowerRoman"/>
      <w:lvlText w:val="%3."/>
      <w:lvlJc w:val="right"/>
      <w:pPr>
        <w:ind w:left="2160" w:hanging="180"/>
      </w:pPr>
    </w:lvl>
    <w:lvl w:ilvl="3" w:tplc="8CD2C3C6" w:tentative="1">
      <w:start w:val="1"/>
      <w:numFmt w:val="decimal"/>
      <w:lvlText w:val="%4."/>
      <w:lvlJc w:val="left"/>
      <w:pPr>
        <w:ind w:left="2880" w:hanging="360"/>
      </w:pPr>
    </w:lvl>
    <w:lvl w:ilvl="4" w:tplc="26EA24DE" w:tentative="1">
      <w:start w:val="1"/>
      <w:numFmt w:val="lowerLetter"/>
      <w:lvlText w:val="%5."/>
      <w:lvlJc w:val="left"/>
      <w:pPr>
        <w:ind w:left="3600" w:hanging="360"/>
      </w:pPr>
    </w:lvl>
    <w:lvl w:ilvl="5" w:tplc="A2A2AA08" w:tentative="1">
      <w:start w:val="1"/>
      <w:numFmt w:val="lowerRoman"/>
      <w:lvlText w:val="%6."/>
      <w:lvlJc w:val="right"/>
      <w:pPr>
        <w:ind w:left="4320" w:hanging="180"/>
      </w:pPr>
    </w:lvl>
    <w:lvl w:ilvl="6" w:tplc="74B82438" w:tentative="1">
      <w:start w:val="1"/>
      <w:numFmt w:val="decimal"/>
      <w:lvlText w:val="%7."/>
      <w:lvlJc w:val="left"/>
      <w:pPr>
        <w:ind w:left="5040" w:hanging="360"/>
      </w:pPr>
    </w:lvl>
    <w:lvl w:ilvl="7" w:tplc="BFFA86F2" w:tentative="1">
      <w:start w:val="1"/>
      <w:numFmt w:val="lowerLetter"/>
      <w:lvlText w:val="%8."/>
      <w:lvlJc w:val="left"/>
      <w:pPr>
        <w:ind w:left="5760" w:hanging="360"/>
      </w:pPr>
    </w:lvl>
    <w:lvl w:ilvl="8" w:tplc="824CFD62" w:tentative="1">
      <w:start w:val="1"/>
      <w:numFmt w:val="lowerRoman"/>
      <w:lvlText w:val="%9."/>
      <w:lvlJc w:val="right"/>
      <w:pPr>
        <w:ind w:left="6480" w:hanging="180"/>
      </w:pPr>
    </w:lvl>
  </w:abstractNum>
  <w:abstractNum w:abstractNumId="13" w15:restartNumberingAfterBreak="0">
    <w:nsid w:val="59B7125D"/>
    <w:multiLevelType w:val="multilevel"/>
    <w:tmpl w:val="D6BEC8CC"/>
    <w:styleLink w:val="PubliConLista"/>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pStyle w:val="030-SubttulodeDocumento"/>
      <w:suff w:val="nothing"/>
      <w:lvlText w:val="%3"/>
      <w:lvlJc w:val="left"/>
      <w:pPr>
        <w:ind w:left="0" w:firstLine="0"/>
      </w:pPr>
    </w:lvl>
    <w:lvl w:ilvl="3">
      <w:start w:val="1"/>
      <w:numFmt w:val="decimal"/>
      <w:suff w:val="nothing"/>
      <w:lvlText w:val="%3.%4"/>
      <w:lvlJc w:val="left"/>
      <w:pPr>
        <w:ind w:left="0" w:firstLine="0"/>
      </w:pPr>
    </w:lvl>
    <w:lvl w:ilvl="4">
      <w:start w:val="1"/>
      <w:numFmt w:val="none"/>
      <w:pStyle w:val="040-SubttuloEspecial"/>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9ED223B"/>
    <w:multiLevelType w:val="hybridMultilevel"/>
    <w:tmpl w:val="213AF204"/>
    <w:lvl w:ilvl="0" w:tplc="0F2E9CF8">
      <w:start w:val="1"/>
      <w:numFmt w:val="decimal"/>
      <w:lvlText w:val="(%1)"/>
      <w:lvlJc w:val="left"/>
      <w:pPr>
        <w:ind w:left="360" w:hanging="360"/>
      </w:pPr>
      <w:rPr>
        <w:rFonts w:hint="default"/>
      </w:rPr>
    </w:lvl>
    <w:lvl w:ilvl="1" w:tplc="4786306C" w:tentative="1">
      <w:start w:val="1"/>
      <w:numFmt w:val="lowerLetter"/>
      <w:lvlText w:val="%2."/>
      <w:lvlJc w:val="left"/>
      <w:pPr>
        <w:ind w:left="1080" w:hanging="360"/>
      </w:pPr>
    </w:lvl>
    <w:lvl w:ilvl="2" w:tplc="1CB0F11C" w:tentative="1">
      <w:start w:val="1"/>
      <w:numFmt w:val="lowerRoman"/>
      <w:lvlText w:val="%3."/>
      <w:lvlJc w:val="right"/>
      <w:pPr>
        <w:ind w:left="1800" w:hanging="180"/>
      </w:pPr>
    </w:lvl>
    <w:lvl w:ilvl="3" w:tplc="8814F88C" w:tentative="1">
      <w:start w:val="1"/>
      <w:numFmt w:val="decimal"/>
      <w:lvlText w:val="%4."/>
      <w:lvlJc w:val="left"/>
      <w:pPr>
        <w:ind w:left="2520" w:hanging="360"/>
      </w:pPr>
    </w:lvl>
    <w:lvl w:ilvl="4" w:tplc="9662C5E2" w:tentative="1">
      <w:start w:val="1"/>
      <w:numFmt w:val="lowerLetter"/>
      <w:lvlText w:val="%5."/>
      <w:lvlJc w:val="left"/>
      <w:pPr>
        <w:ind w:left="3240" w:hanging="360"/>
      </w:pPr>
    </w:lvl>
    <w:lvl w:ilvl="5" w:tplc="EB7C9948" w:tentative="1">
      <w:start w:val="1"/>
      <w:numFmt w:val="lowerRoman"/>
      <w:lvlText w:val="%6."/>
      <w:lvlJc w:val="right"/>
      <w:pPr>
        <w:ind w:left="3960" w:hanging="180"/>
      </w:pPr>
    </w:lvl>
    <w:lvl w:ilvl="6" w:tplc="C9BA5FAC" w:tentative="1">
      <w:start w:val="1"/>
      <w:numFmt w:val="decimal"/>
      <w:lvlText w:val="%7."/>
      <w:lvlJc w:val="left"/>
      <w:pPr>
        <w:ind w:left="4680" w:hanging="360"/>
      </w:pPr>
    </w:lvl>
    <w:lvl w:ilvl="7" w:tplc="A7F05238" w:tentative="1">
      <w:start w:val="1"/>
      <w:numFmt w:val="lowerLetter"/>
      <w:lvlText w:val="%8."/>
      <w:lvlJc w:val="left"/>
      <w:pPr>
        <w:ind w:left="5400" w:hanging="360"/>
      </w:pPr>
    </w:lvl>
    <w:lvl w:ilvl="8" w:tplc="B9265468" w:tentative="1">
      <w:start w:val="1"/>
      <w:numFmt w:val="lowerRoman"/>
      <w:lvlText w:val="%9."/>
      <w:lvlJc w:val="right"/>
      <w:pPr>
        <w:ind w:left="6120" w:hanging="180"/>
      </w:pPr>
    </w:lvl>
  </w:abstractNum>
  <w:abstractNum w:abstractNumId="15" w15:restartNumberingAfterBreak="0">
    <w:nsid w:val="6671575C"/>
    <w:multiLevelType w:val="hybridMultilevel"/>
    <w:tmpl w:val="41167D96"/>
    <w:lvl w:ilvl="0" w:tplc="54C8E8A8">
      <w:start w:val="1"/>
      <w:numFmt w:val="upperRoman"/>
      <w:lvlText w:val="%1."/>
      <w:lvlJc w:val="right"/>
      <w:pPr>
        <w:ind w:left="720" w:hanging="360"/>
      </w:pPr>
    </w:lvl>
    <w:lvl w:ilvl="1" w:tplc="FE12C690">
      <w:start w:val="1"/>
      <w:numFmt w:val="lowerLetter"/>
      <w:lvlText w:val="%2."/>
      <w:lvlJc w:val="left"/>
      <w:pPr>
        <w:ind w:left="1440" w:hanging="360"/>
      </w:pPr>
    </w:lvl>
    <w:lvl w:ilvl="2" w:tplc="07605474">
      <w:start w:val="1"/>
      <w:numFmt w:val="lowerRoman"/>
      <w:lvlText w:val="%3."/>
      <w:lvlJc w:val="right"/>
      <w:pPr>
        <w:ind w:left="2160" w:hanging="180"/>
      </w:pPr>
    </w:lvl>
    <w:lvl w:ilvl="3" w:tplc="60563EC6">
      <w:start w:val="1"/>
      <w:numFmt w:val="decimal"/>
      <w:lvlText w:val="%4."/>
      <w:lvlJc w:val="left"/>
      <w:pPr>
        <w:ind w:left="2880" w:hanging="360"/>
      </w:pPr>
    </w:lvl>
    <w:lvl w:ilvl="4" w:tplc="B6B84A78">
      <w:start w:val="1"/>
      <w:numFmt w:val="lowerLetter"/>
      <w:lvlText w:val="%5."/>
      <w:lvlJc w:val="left"/>
      <w:pPr>
        <w:ind w:left="3600" w:hanging="360"/>
      </w:pPr>
    </w:lvl>
    <w:lvl w:ilvl="5" w:tplc="457E821C">
      <w:start w:val="1"/>
      <w:numFmt w:val="lowerRoman"/>
      <w:lvlText w:val="%6."/>
      <w:lvlJc w:val="right"/>
      <w:pPr>
        <w:ind w:left="4320" w:hanging="180"/>
      </w:pPr>
    </w:lvl>
    <w:lvl w:ilvl="6" w:tplc="0AB41068">
      <w:start w:val="1"/>
      <w:numFmt w:val="decimal"/>
      <w:lvlText w:val="%7."/>
      <w:lvlJc w:val="left"/>
      <w:pPr>
        <w:ind w:left="5040" w:hanging="360"/>
      </w:pPr>
    </w:lvl>
    <w:lvl w:ilvl="7" w:tplc="DAA465FC">
      <w:start w:val="1"/>
      <w:numFmt w:val="lowerLetter"/>
      <w:lvlText w:val="%8."/>
      <w:lvlJc w:val="left"/>
      <w:pPr>
        <w:ind w:left="5760" w:hanging="360"/>
      </w:pPr>
    </w:lvl>
    <w:lvl w:ilvl="8" w:tplc="FB4659E2">
      <w:start w:val="1"/>
      <w:numFmt w:val="lowerRoman"/>
      <w:lvlText w:val="%9."/>
      <w:lvlJc w:val="right"/>
      <w:pPr>
        <w:ind w:left="6480" w:hanging="180"/>
      </w:pPr>
    </w:lvl>
  </w:abstractNum>
  <w:abstractNum w:abstractNumId="16" w15:restartNumberingAfterBreak="0">
    <w:nsid w:val="69325DE0"/>
    <w:multiLevelType w:val="multilevel"/>
    <w:tmpl w:val="D6BEC8CC"/>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09B3962"/>
    <w:multiLevelType w:val="hybridMultilevel"/>
    <w:tmpl w:val="404CFDD2"/>
    <w:lvl w:ilvl="0" w:tplc="27C2B318">
      <w:start w:val="1"/>
      <w:numFmt w:val="lowerLetter"/>
      <w:lvlText w:val="%1)"/>
      <w:lvlJc w:val="left"/>
      <w:pPr>
        <w:ind w:left="360" w:hanging="360"/>
      </w:pPr>
    </w:lvl>
    <w:lvl w:ilvl="1" w:tplc="450A0B52" w:tentative="1">
      <w:start w:val="1"/>
      <w:numFmt w:val="lowerLetter"/>
      <w:lvlText w:val="%2."/>
      <w:lvlJc w:val="left"/>
      <w:pPr>
        <w:ind w:left="1080" w:hanging="360"/>
      </w:pPr>
    </w:lvl>
    <w:lvl w:ilvl="2" w:tplc="82C6601E" w:tentative="1">
      <w:start w:val="1"/>
      <w:numFmt w:val="lowerRoman"/>
      <w:lvlText w:val="%3."/>
      <w:lvlJc w:val="right"/>
      <w:pPr>
        <w:ind w:left="1800" w:hanging="180"/>
      </w:pPr>
    </w:lvl>
    <w:lvl w:ilvl="3" w:tplc="F5C630A4" w:tentative="1">
      <w:start w:val="1"/>
      <w:numFmt w:val="decimal"/>
      <w:lvlText w:val="%4."/>
      <w:lvlJc w:val="left"/>
      <w:pPr>
        <w:ind w:left="2520" w:hanging="360"/>
      </w:pPr>
    </w:lvl>
    <w:lvl w:ilvl="4" w:tplc="70608034" w:tentative="1">
      <w:start w:val="1"/>
      <w:numFmt w:val="lowerLetter"/>
      <w:lvlText w:val="%5."/>
      <w:lvlJc w:val="left"/>
      <w:pPr>
        <w:ind w:left="3240" w:hanging="360"/>
      </w:pPr>
    </w:lvl>
    <w:lvl w:ilvl="5" w:tplc="DB4CA6F0" w:tentative="1">
      <w:start w:val="1"/>
      <w:numFmt w:val="lowerRoman"/>
      <w:lvlText w:val="%6."/>
      <w:lvlJc w:val="right"/>
      <w:pPr>
        <w:ind w:left="3960" w:hanging="180"/>
      </w:pPr>
    </w:lvl>
    <w:lvl w:ilvl="6" w:tplc="DAAC9CBA" w:tentative="1">
      <w:start w:val="1"/>
      <w:numFmt w:val="decimal"/>
      <w:lvlText w:val="%7."/>
      <w:lvlJc w:val="left"/>
      <w:pPr>
        <w:ind w:left="4680" w:hanging="360"/>
      </w:pPr>
    </w:lvl>
    <w:lvl w:ilvl="7" w:tplc="318C2F0A" w:tentative="1">
      <w:start w:val="1"/>
      <w:numFmt w:val="lowerLetter"/>
      <w:lvlText w:val="%8."/>
      <w:lvlJc w:val="left"/>
      <w:pPr>
        <w:ind w:left="5400" w:hanging="360"/>
      </w:pPr>
    </w:lvl>
    <w:lvl w:ilvl="8" w:tplc="02B8BB02" w:tentative="1">
      <w:start w:val="1"/>
      <w:numFmt w:val="lowerRoman"/>
      <w:lvlText w:val="%9."/>
      <w:lvlJc w:val="right"/>
      <w:pPr>
        <w:ind w:left="6120" w:hanging="180"/>
      </w:pPr>
    </w:lvl>
  </w:abstractNum>
  <w:abstractNum w:abstractNumId="18" w15:restartNumberingAfterBreak="0">
    <w:nsid w:val="7220133D"/>
    <w:multiLevelType w:val="hybridMultilevel"/>
    <w:tmpl w:val="87AC59AC"/>
    <w:lvl w:ilvl="0" w:tplc="0128C396">
      <w:start w:val="1"/>
      <w:numFmt w:val="lowerLetter"/>
      <w:lvlText w:val="%1)"/>
      <w:lvlJc w:val="left"/>
      <w:pPr>
        <w:ind w:left="360" w:hanging="360"/>
      </w:pPr>
    </w:lvl>
    <w:lvl w:ilvl="1" w:tplc="DC4001CE" w:tentative="1">
      <w:start w:val="1"/>
      <w:numFmt w:val="lowerLetter"/>
      <w:lvlText w:val="%2."/>
      <w:lvlJc w:val="left"/>
      <w:pPr>
        <w:ind w:left="1080" w:hanging="360"/>
      </w:pPr>
    </w:lvl>
    <w:lvl w:ilvl="2" w:tplc="7348F384" w:tentative="1">
      <w:start w:val="1"/>
      <w:numFmt w:val="lowerRoman"/>
      <w:lvlText w:val="%3."/>
      <w:lvlJc w:val="right"/>
      <w:pPr>
        <w:ind w:left="1800" w:hanging="180"/>
      </w:pPr>
    </w:lvl>
    <w:lvl w:ilvl="3" w:tplc="CAFE1BEC" w:tentative="1">
      <w:start w:val="1"/>
      <w:numFmt w:val="decimal"/>
      <w:lvlText w:val="%4."/>
      <w:lvlJc w:val="left"/>
      <w:pPr>
        <w:ind w:left="2520" w:hanging="360"/>
      </w:pPr>
    </w:lvl>
    <w:lvl w:ilvl="4" w:tplc="704A63BC" w:tentative="1">
      <w:start w:val="1"/>
      <w:numFmt w:val="lowerLetter"/>
      <w:lvlText w:val="%5."/>
      <w:lvlJc w:val="left"/>
      <w:pPr>
        <w:ind w:left="3240" w:hanging="360"/>
      </w:pPr>
    </w:lvl>
    <w:lvl w:ilvl="5" w:tplc="BA3E7D8E" w:tentative="1">
      <w:start w:val="1"/>
      <w:numFmt w:val="lowerRoman"/>
      <w:lvlText w:val="%6."/>
      <w:lvlJc w:val="right"/>
      <w:pPr>
        <w:ind w:left="3960" w:hanging="180"/>
      </w:pPr>
    </w:lvl>
    <w:lvl w:ilvl="6" w:tplc="1820F74E" w:tentative="1">
      <w:start w:val="1"/>
      <w:numFmt w:val="decimal"/>
      <w:lvlText w:val="%7."/>
      <w:lvlJc w:val="left"/>
      <w:pPr>
        <w:ind w:left="4680" w:hanging="360"/>
      </w:pPr>
    </w:lvl>
    <w:lvl w:ilvl="7" w:tplc="28025AA6" w:tentative="1">
      <w:start w:val="1"/>
      <w:numFmt w:val="lowerLetter"/>
      <w:lvlText w:val="%8."/>
      <w:lvlJc w:val="left"/>
      <w:pPr>
        <w:ind w:left="5400" w:hanging="360"/>
      </w:pPr>
    </w:lvl>
    <w:lvl w:ilvl="8" w:tplc="0F34C2B4" w:tentative="1">
      <w:start w:val="1"/>
      <w:numFmt w:val="lowerRoman"/>
      <w:lvlText w:val="%9."/>
      <w:lvlJc w:val="right"/>
      <w:pPr>
        <w:ind w:left="6120" w:hanging="180"/>
      </w:pPr>
    </w:lvl>
  </w:abstractNum>
  <w:abstractNum w:abstractNumId="19" w15:restartNumberingAfterBreak="0">
    <w:nsid w:val="75645461"/>
    <w:multiLevelType w:val="hybridMultilevel"/>
    <w:tmpl w:val="BFF6E54C"/>
    <w:lvl w:ilvl="0" w:tplc="A67089B2">
      <w:start w:val="1"/>
      <w:numFmt w:val="lowerLetter"/>
      <w:lvlText w:val="%1)"/>
      <w:lvlJc w:val="left"/>
      <w:pPr>
        <w:ind w:left="360" w:hanging="360"/>
      </w:pPr>
    </w:lvl>
    <w:lvl w:ilvl="1" w:tplc="12825FEE" w:tentative="1">
      <w:start w:val="1"/>
      <w:numFmt w:val="lowerLetter"/>
      <w:lvlText w:val="%2."/>
      <w:lvlJc w:val="left"/>
      <w:pPr>
        <w:ind w:left="1080" w:hanging="360"/>
      </w:pPr>
    </w:lvl>
    <w:lvl w:ilvl="2" w:tplc="9E48A9AC" w:tentative="1">
      <w:start w:val="1"/>
      <w:numFmt w:val="lowerRoman"/>
      <w:lvlText w:val="%3."/>
      <w:lvlJc w:val="right"/>
      <w:pPr>
        <w:ind w:left="1800" w:hanging="180"/>
      </w:pPr>
    </w:lvl>
    <w:lvl w:ilvl="3" w:tplc="D5D842F8" w:tentative="1">
      <w:start w:val="1"/>
      <w:numFmt w:val="decimal"/>
      <w:lvlText w:val="%4."/>
      <w:lvlJc w:val="left"/>
      <w:pPr>
        <w:ind w:left="2520" w:hanging="360"/>
      </w:pPr>
    </w:lvl>
    <w:lvl w:ilvl="4" w:tplc="AD76F210" w:tentative="1">
      <w:start w:val="1"/>
      <w:numFmt w:val="lowerLetter"/>
      <w:lvlText w:val="%5."/>
      <w:lvlJc w:val="left"/>
      <w:pPr>
        <w:ind w:left="3240" w:hanging="360"/>
      </w:pPr>
    </w:lvl>
    <w:lvl w:ilvl="5" w:tplc="E85241AA" w:tentative="1">
      <w:start w:val="1"/>
      <w:numFmt w:val="lowerRoman"/>
      <w:lvlText w:val="%6."/>
      <w:lvlJc w:val="right"/>
      <w:pPr>
        <w:ind w:left="3960" w:hanging="180"/>
      </w:pPr>
    </w:lvl>
    <w:lvl w:ilvl="6" w:tplc="72328C4A" w:tentative="1">
      <w:start w:val="1"/>
      <w:numFmt w:val="decimal"/>
      <w:lvlText w:val="%7."/>
      <w:lvlJc w:val="left"/>
      <w:pPr>
        <w:ind w:left="4680" w:hanging="360"/>
      </w:pPr>
    </w:lvl>
    <w:lvl w:ilvl="7" w:tplc="6AAA70A2" w:tentative="1">
      <w:start w:val="1"/>
      <w:numFmt w:val="lowerLetter"/>
      <w:lvlText w:val="%8."/>
      <w:lvlJc w:val="left"/>
      <w:pPr>
        <w:ind w:left="5400" w:hanging="360"/>
      </w:pPr>
    </w:lvl>
    <w:lvl w:ilvl="8" w:tplc="671CFE04" w:tentative="1">
      <w:start w:val="1"/>
      <w:numFmt w:val="lowerRoman"/>
      <w:lvlText w:val="%9."/>
      <w:lvlJc w:val="right"/>
      <w:pPr>
        <w:ind w:left="6120" w:hanging="180"/>
      </w:pPr>
    </w:lvl>
  </w:abstractNum>
  <w:abstractNum w:abstractNumId="20" w15:restartNumberingAfterBreak="0">
    <w:nsid w:val="7AD77035"/>
    <w:multiLevelType w:val="hybridMultilevel"/>
    <w:tmpl w:val="90CC6994"/>
    <w:lvl w:ilvl="0" w:tplc="F09630A4">
      <w:start w:val="1"/>
      <w:numFmt w:val="decimal"/>
      <w:lvlText w:val="(%1)"/>
      <w:lvlJc w:val="left"/>
      <w:pPr>
        <w:ind w:left="360" w:hanging="360"/>
      </w:pPr>
      <w:rPr>
        <w:rFonts w:hint="default"/>
      </w:rPr>
    </w:lvl>
    <w:lvl w:ilvl="1" w:tplc="7C44D7DA" w:tentative="1">
      <w:start w:val="1"/>
      <w:numFmt w:val="lowerLetter"/>
      <w:lvlText w:val="%2."/>
      <w:lvlJc w:val="left"/>
      <w:pPr>
        <w:ind w:left="1080" w:hanging="360"/>
      </w:pPr>
    </w:lvl>
    <w:lvl w:ilvl="2" w:tplc="43C42E06" w:tentative="1">
      <w:start w:val="1"/>
      <w:numFmt w:val="lowerRoman"/>
      <w:lvlText w:val="%3."/>
      <w:lvlJc w:val="right"/>
      <w:pPr>
        <w:ind w:left="1800" w:hanging="180"/>
      </w:pPr>
    </w:lvl>
    <w:lvl w:ilvl="3" w:tplc="0A40AB46" w:tentative="1">
      <w:start w:val="1"/>
      <w:numFmt w:val="decimal"/>
      <w:lvlText w:val="%4."/>
      <w:lvlJc w:val="left"/>
      <w:pPr>
        <w:ind w:left="2520" w:hanging="360"/>
      </w:pPr>
    </w:lvl>
    <w:lvl w:ilvl="4" w:tplc="3AD0CA92" w:tentative="1">
      <w:start w:val="1"/>
      <w:numFmt w:val="lowerLetter"/>
      <w:lvlText w:val="%5."/>
      <w:lvlJc w:val="left"/>
      <w:pPr>
        <w:ind w:left="3240" w:hanging="360"/>
      </w:pPr>
    </w:lvl>
    <w:lvl w:ilvl="5" w:tplc="C1D0CBD8" w:tentative="1">
      <w:start w:val="1"/>
      <w:numFmt w:val="lowerRoman"/>
      <w:lvlText w:val="%6."/>
      <w:lvlJc w:val="right"/>
      <w:pPr>
        <w:ind w:left="3960" w:hanging="180"/>
      </w:pPr>
    </w:lvl>
    <w:lvl w:ilvl="6" w:tplc="B6C64E8C" w:tentative="1">
      <w:start w:val="1"/>
      <w:numFmt w:val="decimal"/>
      <w:lvlText w:val="%7."/>
      <w:lvlJc w:val="left"/>
      <w:pPr>
        <w:ind w:left="4680" w:hanging="360"/>
      </w:pPr>
    </w:lvl>
    <w:lvl w:ilvl="7" w:tplc="AFDABC68" w:tentative="1">
      <w:start w:val="1"/>
      <w:numFmt w:val="lowerLetter"/>
      <w:lvlText w:val="%8."/>
      <w:lvlJc w:val="left"/>
      <w:pPr>
        <w:ind w:left="5400" w:hanging="360"/>
      </w:pPr>
    </w:lvl>
    <w:lvl w:ilvl="8" w:tplc="78409F84" w:tentative="1">
      <w:start w:val="1"/>
      <w:numFmt w:val="lowerRoman"/>
      <w:lvlText w:val="%9."/>
      <w:lvlJc w:val="right"/>
      <w:pPr>
        <w:ind w:left="612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11"/>
  </w:num>
  <w:num w:numId="4">
    <w:abstractNumId w:val="7"/>
  </w:num>
  <w:num w:numId="5">
    <w:abstractNumId w:val="13"/>
  </w:num>
  <w:num w:numId="6">
    <w:abstractNumId w:val="16"/>
    <w:lvlOverride w:ilvl="0">
      <w:lvl w:ilvl="0">
        <w:start w:val="1"/>
        <w:numFmt w:val="none"/>
        <w:lvlText w:val="%1"/>
        <w:lvlJc w:val="left"/>
        <w:pPr>
          <w:ind w:left="0" w:firstLine="0"/>
        </w:pPr>
      </w:lvl>
    </w:lvlOverride>
    <w:lvlOverride w:ilvl="1">
      <w:lvl w:ilvl="1">
        <w:start w:val="1"/>
        <w:numFmt w:val="decimal"/>
        <w:suff w:val="nothing"/>
        <w:lvlText w:val="%2"/>
        <w:lvlJc w:val="left"/>
        <w:pPr>
          <w:ind w:left="0" w:firstLine="0"/>
        </w:pPr>
      </w:lvl>
    </w:lvlOverride>
    <w:lvlOverride w:ilvl="2">
      <w:lvl w:ilvl="2">
        <w:start w:val="1"/>
        <w:numFmt w:val="lowerLetter"/>
        <w:suff w:val="nothing"/>
        <w:lvlText w:val="%3"/>
        <w:lvlJc w:val="left"/>
        <w:pPr>
          <w:ind w:left="0" w:firstLine="0"/>
        </w:pPr>
      </w:lvl>
    </w:lvlOverride>
    <w:lvlOverride w:ilvl="3">
      <w:lvl w:ilvl="3">
        <w:start w:val="1"/>
        <w:numFmt w:val="decimal"/>
        <w:suff w:val="nothing"/>
        <w:lvlText w:val="%3.%4"/>
        <w:lvlJc w:val="left"/>
        <w:pPr>
          <w:ind w:left="0" w:firstLine="0"/>
        </w:pPr>
      </w:lvl>
    </w:lvlOverride>
    <w:lvlOverride w:ilvl="4">
      <w:lvl w:ilvl="4">
        <w:start w:val="1"/>
        <w:numFmt w:val="none"/>
        <w:suff w:val="nothing"/>
        <w:lvlText w:val=""/>
        <w:lvlJc w:val="left"/>
        <w:pPr>
          <w:ind w:left="0" w:firstLine="0"/>
        </w:pPr>
      </w:lvl>
    </w:lvlOverride>
    <w:lvlOverride w:ilvl="5">
      <w:lvl w:ilvl="5">
        <w:start w:val="1"/>
        <w:numFmt w:val="lowerRoman"/>
        <w:lvlText w:val="(%6)"/>
        <w:lvlJc w:val="left"/>
        <w:pPr>
          <w:ind w:left="425" w:firstLine="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7">
    <w:abstractNumId w:val="4"/>
  </w:num>
  <w:num w:numId="8">
    <w:abstractNumId w:val="10"/>
  </w:num>
  <w:num w:numId="9">
    <w:abstractNumId w:val="6"/>
  </w:num>
  <w:num w:numId="10">
    <w:abstractNumId w:val="2"/>
  </w:num>
  <w:num w:numId="11">
    <w:abstractNumId w:val="18"/>
  </w:num>
  <w:num w:numId="12">
    <w:abstractNumId w:val="8"/>
  </w:num>
  <w:num w:numId="13">
    <w:abstractNumId w:val="19"/>
  </w:num>
  <w:num w:numId="14">
    <w:abstractNumId w:val="3"/>
  </w:num>
  <w:num w:numId="15">
    <w:abstractNumId w:val="17"/>
  </w:num>
  <w:num w:numId="16">
    <w:abstractNumId w:val="14"/>
  </w:num>
  <w:num w:numId="17">
    <w:abstractNumId w:val="12"/>
  </w:num>
  <w:num w:numId="18">
    <w:abstractNumId w:val="9"/>
  </w:num>
  <w:num w:numId="19">
    <w:abstractNumId w:val="0"/>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46E"/>
    <w:rsid w:val="0000532F"/>
    <w:rsid w:val="00007775"/>
    <w:rsid w:val="00007A64"/>
    <w:rsid w:val="000277E6"/>
    <w:rsid w:val="000328D3"/>
    <w:rsid w:val="000351B4"/>
    <w:rsid w:val="000472DA"/>
    <w:rsid w:val="00047A0C"/>
    <w:rsid w:val="00051D34"/>
    <w:rsid w:val="00065D31"/>
    <w:rsid w:val="00082C1D"/>
    <w:rsid w:val="000832DD"/>
    <w:rsid w:val="00083D26"/>
    <w:rsid w:val="00090AE1"/>
    <w:rsid w:val="000A5EB0"/>
    <w:rsid w:val="000B5D43"/>
    <w:rsid w:val="000B6959"/>
    <w:rsid w:val="000C0FAD"/>
    <w:rsid w:val="000C4A36"/>
    <w:rsid w:val="000D5A7E"/>
    <w:rsid w:val="000E065B"/>
    <w:rsid w:val="000E7A66"/>
    <w:rsid w:val="0011494E"/>
    <w:rsid w:val="0011596B"/>
    <w:rsid w:val="00126A7C"/>
    <w:rsid w:val="00133A06"/>
    <w:rsid w:val="00142A97"/>
    <w:rsid w:val="001433A8"/>
    <w:rsid w:val="00144389"/>
    <w:rsid w:val="001517BC"/>
    <w:rsid w:val="00163922"/>
    <w:rsid w:val="00172DF6"/>
    <w:rsid w:val="00177721"/>
    <w:rsid w:val="0019046E"/>
    <w:rsid w:val="00193724"/>
    <w:rsid w:val="001B1C55"/>
    <w:rsid w:val="00221720"/>
    <w:rsid w:val="00223A99"/>
    <w:rsid w:val="00246C93"/>
    <w:rsid w:val="00253F3C"/>
    <w:rsid w:val="00270F2A"/>
    <w:rsid w:val="00281FCE"/>
    <w:rsid w:val="00287271"/>
    <w:rsid w:val="002A0A0D"/>
    <w:rsid w:val="002A724E"/>
    <w:rsid w:val="002B57C3"/>
    <w:rsid w:val="002C4CA3"/>
    <w:rsid w:val="002C7B22"/>
    <w:rsid w:val="002E1DD1"/>
    <w:rsid w:val="002E4C9B"/>
    <w:rsid w:val="003013D8"/>
    <w:rsid w:val="003036D7"/>
    <w:rsid w:val="003070FA"/>
    <w:rsid w:val="0030760A"/>
    <w:rsid w:val="00314754"/>
    <w:rsid w:val="00317DF4"/>
    <w:rsid w:val="00320FA8"/>
    <w:rsid w:val="00362A69"/>
    <w:rsid w:val="00377417"/>
    <w:rsid w:val="003851F5"/>
    <w:rsid w:val="00391D65"/>
    <w:rsid w:val="003A1FE2"/>
    <w:rsid w:val="003A50F5"/>
    <w:rsid w:val="003B60C3"/>
    <w:rsid w:val="003C1E95"/>
    <w:rsid w:val="003C600B"/>
    <w:rsid w:val="003D251E"/>
    <w:rsid w:val="003D2F0F"/>
    <w:rsid w:val="003E074D"/>
    <w:rsid w:val="003F6ADF"/>
    <w:rsid w:val="00401BC6"/>
    <w:rsid w:val="00411372"/>
    <w:rsid w:val="00420026"/>
    <w:rsid w:val="004249D7"/>
    <w:rsid w:val="0043224C"/>
    <w:rsid w:val="00451FB2"/>
    <w:rsid w:val="0046051B"/>
    <w:rsid w:val="004836F2"/>
    <w:rsid w:val="0049025A"/>
    <w:rsid w:val="00496F13"/>
    <w:rsid w:val="004A085C"/>
    <w:rsid w:val="004A7030"/>
    <w:rsid w:val="004B1305"/>
    <w:rsid w:val="004B7690"/>
    <w:rsid w:val="004C2033"/>
    <w:rsid w:val="004D57B5"/>
    <w:rsid w:val="004D61B3"/>
    <w:rsid w:val="004E156D"/>
    <w:rsid w:val="004E15B7"/>
    <w:rsid w:val="004F34F9"/>
    <w:rsid w:val="004F4C7A"/>
    <w:rsid w:val="00502A2C"/>
    <w:rsid w:val="005032C0"/>
    <w:rsid w:val="00504B0F"/>
    <w:rsid w:val="0050661F"/>
    <w:rsid w:val="00506C13"/>
    <w:rsid w:val="00523543"/>
    <w:rsid w:val="00532ED8"/>
    <w:rsid w:val="00533F70"/>
    <w:rsid w:val="0053690F"/>
    <w:rsid w:val="00551B52"/>
    <w:rsid w:val="005570C5"/>
    <w:rsid w:val="00560AFC"/>
    <w:rsid w:val="00561060"/>
    <w:rsid w:val="00561B28"/>
    <w:rsid w:val="00565ACD"/>
    <w:rsid w:val="00566CE2"/>
    <w:rsid w:val="00566FEE"/>
    <w:rsid w:val="00570E5A"/>
    <w:rsid w:val="0057373E"/>
    <w:rsid w:val="00577DD4"/>
    <w:rsid w:val="00580F4E"/>
    <w:rsid w:val="005939E0"/>
    <w:rsid w:val="00593D4D"/>
    <w:rsid w:val="005959B0"/>
    <w:rsid w:val="00596103"/>
    <w:rsid w:val="005A7FD1"/>
    <w:rsid w:val="005B6DB3"/>
    <w:rsid w:val="005D0981"/>
    <w:rsid w:val="005F34B3"/>
    <w:rsid w:val="005F4D42"/>
    <w:rsid w:val="00601B61"/>
    <w:rsid w:val="00620AB0"/>
    <w:rsid w:val="0062264D"/>
    <w:rsid w:val="006228E6"/>
    <w:rsid w:val="00625B8B"/>
    <w:rsid w:val="00626CE5"/>
    <w:rsid w:val="006367BF"/>
    <w:rsid w:val="00667291"/>
    <w:rsid w:val="00670CB3"/>
    <w:rsid w:val="0068089D"/>
    <w:rsid w:val="00682517"/>
    <w:rsid w:val="0068668B"/>
    <w:rsid w:val="00693334"/>
    <w:rsid w:val="00694806"/>
    <w:rsid w:val="006A26C1"/>
    <w:rsid w:val="006A66A3"/>
    <w:rsid w:val="006B31AC"/>
    <w:rsid w:val="006C0FAF"/>
    <w:rsid w:val="006C189F"/>
    <w:rsid w:val="006C4079"/>
    <w:rsid w:val="006D7F05"/>
    <w:rsid w:val="006E1EE5"/>
    <w:rsid w:val="0070265E"/>
    <w:rsid w:val="00707299"/>
    <w:rsid w:val="00720E7E"/>
    <w:rsid w:val="00731643"/>
    <w:rsid w:val="00732A9A"/>
    <w:rsid w:val="00736FE0"/>
    <w:rsid w:val="00751245"/>
    <w:rsid w:val="0075250F"/>
    <w:rsid w:val="00756F84"/>
    <w:rsid w:val="00765C53"/>
    <w:rsid w:val="0077756B"/>
    <w:rsid w:val="00790DB0"/>
    <w:rsid w:val="007A5AC4"/>
    <w:rsid w:val="007B4A59"/>
    <w:rsid w:val="007B54A6"/>
    <w:rsid w:val="007C2781"/>
    <w:rsid w:val="007E54B9"/>
    <w:rsid w:val="007E78BE"/>
    <w:rsid w:val="0081179F"/>
    <w:rsid w:val="00822ACC"/>
    <w:rsid w:val="00825BD3"/>
    <w:rsid w:val="00841C29"/>
    <w:rsid w:val="00846468"/>
    <w:rsid w:val="008523AF"/>
    <w:rsid w:val="008535CB"/>
    <w:rsid w:val="00855595"/>
    <w:rsid w:val="00891193"/>
    <w:rsid w:val="00896490"/>
    <w:rsid w:val="008A1BB3"/>
    <w:rsid w:val="008B6556"/>
    <w:rsid w:val="008C68A1"/>
    <w:rsid w:val="008F2DDF"/>
    <w:rsid w:val="00907522"/>
    <w:rsid w:val="00915D7C"/>
    <w:rsid w:val="00930D98"/>
    <w:rsid w:val="009341D7"/>
    <w:rsid w:val="00953E3F"/>
    <w:rsid w:val="00973735"/>
    <w:rsid w:val="009743D9"/>
    <w:rsid w:val="009804ED"/>
    <w:rsid w:val="00983C6E"/>
    <w:rsid w:val="009943C2"/>
    <w:rsid w:val="009B78FC"/>
    <w:rsid w:val="009C003C"/>
    <w:rsid w:val="009C7999"/>
    <w:rsid w:val="009D7138"/>
    <w:rsid w:val="009E331C"/>
    <w:rsid w:val="009E3E6F"/>
    <w:rsid w:val="009E483F"/>
    <w:rsid w:val="009E67AC"/>
    <w:rsid w:val="009F2D7E"/>
    <w:rsid w:val="009F3513"/>
    <w:rsid w:val="00A13367"/>
    <w:rsid w:val="00A15231"/>
    <w:rsid w:val="00A1792D"/>
    <w:rsid w:val="00A24242"/>
    <w:rsid w:val="00A37D4E"/>
    <w:rsid w:val="00A46AE8"/>
    <w:rsid w:val="00A479E5"/>
    <w:rsid w:val="00A5065D"/>
    <w:rsid w:val="00A529DB"/>
    <w:rsid w:val="00A75C0D"/>
    <w:rsid w:val="00A75DBB"/>
    <w:rsid w:val="00A76A43"/>
    <w:rsid w:val="00A76B19"/>
    <w:rsid w:val="00A82039"/>
    <w:rsid w:val="00A869EF"/>
    <w:rsid w:val="00A93010"/>
    <w:rsid w:val="00AB1AEF"/>
    <w:rsid w:val="00AC02BF"/>
    <w:rsid w:val="00AC08FA"/>
    <w:rsid w:val="00AC4CE4"/>
    <w:rsid w:val="00AC57CE"/>
    <w:rsid w:val="00AC5EB6"/>
    <w:rsid w:val="00AD2B16"/>
    <w:rsid w:val="00AD40BF"/>
    <w:rsid w:val="00AE6C75"/>
    <w:rsid w:val="00AE6D00"/>
    <w:rsid w:val="00AF3504"/>
    <w:rsid w:val="00AF5D31"/>
    <w:rsid w:val="00AF6B0B"/>
    <w:rsid w:val="00B11092"/>
    <w:rsid w:val="00B22F08"/>
    <w:rsid w:val="00B314D4"/>
    <w:rsid w:val="00B31E8F"/>
    <w:rsid w:val="00B34BDC"/>
    <w:rsid w:val="00B41737"/>
    <w:rsid w:val="00B50F59"/>
    <w:rsid w:val="00B5311F"/>
    <w:rsid w:val="00B6629C"/>
    <w:rsid w:val="00B731E5"/>
    <w:rsid w:val="00B915B0"/>
    <w:rsid w:val="00BA6ED4"/>
    <w:rsid w:val="00BA7135"/>
    <w:rsid w:val="00BB2C43"/>
    <w:rsid w:val="00BB2EB5"/>
    <w:rsid w:val="00BB6225"/>
    <w:rsid w:val="00BB6C17"/>
    <w:rsid w:val="00BC16CC"/>
    <w:rsid w:val="00BC514F"/>
    <w:rsid w:val="00BC7AF3"/>
    <w:rsid w:val="00BC7C5C"/>
    <w:rsid w:val="00BD16AE"/>
    <w:rsid w:val="00BE6E71"/>
    <w:rsid w:val="00BF1499"/>
    <w:rsid w:val="00BF15B4"/>
    <w:rsid w:val="00C01DDF"/>
    <w:rsid w:val="00C0295E"/>
    <w:rsid w:val="00C1601B"/>
    <w:rsid w:val="00C3286C"/>
    <w:rsid w:val="00C4388A"/>
    <w:rsid w:val="00C464B6"/>
    <w:rsid w:val="00C62294"/>
    <w:rsid w:val="00C77829"/>
    <w:rsid w:val="00C81471"/>
    <w:rsid w:val="00C830B3"/>
    <w:rsid w:val="00C831C0"/>
    <w:rsid w:val="00C90D41"/>
    <w:rsid w:val="00CA03AB"/>
    <w:rsid w:val="00CA3792"/>
    <w:rsid w:val="00CA76DF"/>
    <w:rsid w:val="00CB1F3D"/>
    <w:rsid w:val="00CB28AB"/>
    <w:rsid w:val="00CB464C"/>
    <w:rsid w:val="00CC4047"/>
    <w:rsid w:val="00CD0F5C"/>
    <w:rsid w:val="00CE04AC"/>
    <w:rsid w:val="00CF3640"/>
    <w:rsid w:val="00CF4BAB"/>
    <w:rsid w:val="00CF7952"/>
    <w:rsid w:val="00D12640"/>
    <w:rsid w:val="00D25070"/>
    <w:rsid w:val="00D36676"/>
    <w:rsid w:val="00D52029"/>
    <w:rsid w:val="00D616C8"/>
    <w:rsid w:val="00D630A7"/>
    <w:rsid w:val="00D75744"/>
    <w:rsid w:val="00D76FFE"/>
    <w:rsid w:val="00D774EC"/>
    <w:rsid w:val="00D86095"/>
    <w:rsid w:val="00D86272"/>
    <w:rsid w:val="00D95004"/>
    <w:rsid w:val="00DA6303"/>
    <w:rsid w:val="00DB1EE1"/>
    <w:rsid w:val="00DB2E5E"/>
    <w:rsid w:val="00DC4D6A"/>
    <w:rsid w:val="00DD3658"/>
    <w:rsid w:val="00DE3139"/>
    <w:rsid w:val="00DE767E"/>
    <w:rsid w:val="00DF07C6"/>
    <w:rsid w:val="00E06FA9"/>
    <w:rsid w:val="00E153BF"/>
    <w:rsid w:val="00E1632E"/>
    <w:rsid w:val="00E300F5"/>
    <w:rsid w:val="00E3286C"/>
    <w:rsid w:val="00E51314"/>
    <w:rsid w:val="00E551F7"/>
    <w:rsid w:val="00E81D94"/>
    <w:rsid w:val="00E828C7"/>
    <w:rsid w:val="00E85A5B"/>
    <w:rsid w:val="00EA3615"/>
    <w:rsid w:val="00EA5384"/>
    <w:rsid w:val="00EB1313"/>
    <w:rsid w:val="00EB3013"/>
    <w:rsid w:val="00EB4437"/>
    <w:rsid w:val="00EB6512"/>
    <w:rsid w:val="00EC36ED"/>
    <w:rsid w:val="00EC470C"/>
    <w:rsid w:val="00EC47EA"/>
    <w:rsid w:val="00EC5C98"/>
    <w:rsid w:val="00ED4BE0"/>
    <w:rsid w:val="00ED63A4"/>
    <w:rsid w:val="00EE1483"/>
    <w:rsid w:val="00EF187A"/>
    <w:rsid w:val="00F00A55"/>
    <w:rsid w:val="00F10B06"/>
    <w:rsid w:val="00F228E2"/>
    <w:rsid w:val="00F230DC"/>
    <w:rsid w:val="00F26F18"/>
    <w:rsid w:val="00F27807"/>
    <w:rsid w:val="00F40E8D"/>
    <w:rsid w:val="00F4457F"/>
    <w:rsid w:val="00F44F66"/>
    <w:rsid w:val="00F63A6F"/>
    <w:rsid w:val="00F76DEA"/>
    <w:rsid w:val="00F93679"/>
    <w:rsid w:val="00F95B2B"/>
    <w:rsid w:val="00FB7815"/>
    <w:rsid w:val="00FC035D"/>
    <w:rsid w:val="00FC0F30"/>
    <w:rsid w:val="00FC7DF7"/>
    <w:rsid w:val="00FD082E"/>
    <w:rsid w:val="00FD0BB8"/>
    <w:rsid w:val="00FD1679"/>
    <w:rsid w:val="00FE7742"/>
    <w:rsid w:val="00FF050F"/>
    <w:rsid w:val="00FF39DB"/>
    <w:rsid w:val="00FF420F"/>
    <w:rsid w:val="00FF745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5B9ABA1"/>
  <w15:chartTrackingRefBased/>
  <w15:docId w15:val="{2F3A4612-A839-476C-B598-721BD7706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046E"/>
    <w:pPr>
      <w:spacing w:before="120" w:after="120" w:line="276" w:lineRule="auto"/>
      <w:jc w:val="both"/>
    </w:pPr>
    <w:rPr>
      <w:rFonts w:ascii="Arial" w:eastAsia="Times New Roman" w:hAnsi="Arial" w:cs="Times New Roman"/>
      <w:sz w:val="18"/>
      <w:szCs w:val="18"/>
      <w:lang w:eastAsia="pt-BR"/>
    </w:rPr>
  </w:style>
  <w:style w:type="paragraph" w:styleId="Ttulo1">
    <w:name w:val="heading 1"/>
    <w:basedOn w:val="Normal"/>
    <w:next w:val="Normal"/>
    <w:link w:val="Ttulo1Char"/>
    <w:uiPriority w:val="9"/>
    <w:qFormat/>
    <w:rsid w:val="003E074D"/>
    <w:pPr>
      <w:keepNext/>
      <w:keepLines/>
      <w:spacing w:before="240" w:after="0"/>
      <w:jc w:val="left"/>
      <w:outlineLvl w:val="0"/>
    </w:pPr>
    <w:rPr>
      <w:rFonts w:ascii="Cambria" w:hAnsi="Cambria"/>
      <w:color w:val="365F91"/>
      <w:sz w:val="32"/>
      <w:szCs w:val="32"/>
      <w:lang w:eastAsia="en-US"/>
    </w:rPr>
  </w:style>
  <w:style w:type="paragraph" w:styleId="Ttulo3">
    <w:name w:val="heading 3"/>
    <w:basedOn w:val="Normal"/>
    <w:next w:val="Normal"/>
    <w:link w:val="Ttulo3Char"/>
    <w:uiPriority w:val="9"/>
    <w:semiHidden/>
    <w:unhideWhenUsed/>
    <w:qFormat/>
    <w:rsid w:val="00620965"/>
    <w:pPr>
      <w:keepNext/>
      <w:keepLines/>
      <w:spacing w:before="40" w:after="0" w:line="240" w:lineRule="auto"/>
      <w:jc w:val="left"/>
      <w:outlineLvl w:val="2"/>
    </w:pPr>
    <w:rPr>
      <w:rFonts w:ascii="Cambria" w:hAnsi="Cambria"/>
      <w:color w:val="243F60"/>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00">
    <w:name w:val="Normal_0_0"/>
    <w:qFormat/>
    <w:rsid w:val="008C61E4"/>
    <w:pPr>
      <w:spacing w:after="200" w:line="276" w:lineRule="auto"/>
    </w:pPr>
    <w:rPr>
      <w:rFonts w:ascii="Calibri" w:eastAsia="Calibri" w:hAnsi="Calibri" w:cs="Times New Roman"/>
    </w:rPr>
  </w:style>
  <w:style w:type="paragraph" w:customStyle="1" w:styleId="01-Textonormal">
    <w:name w:val="01-Texto normal"/>
    <w:basedOn w:val="Normal"/>
    <w:uiPriority w:val="99"/>
    <w:qFormat/>
    <w:rsid w:val="00CC1875"/>
    <w:pPr>
      <w:suppressAutoHyphens/>
    </w:pPr>
    <w:rPr>
      <w:kern w:val="20"/>
      <w:szCs w:val="20"/>
    </w:rPr>
  </w:style>
  <w:style w:type="paragraph" w:customStyle="1" w:styleId="08-Tabelageral">
    <w:name w:val="08-Tabela geral"/>
    <w:basedOn w:val="01-Textonormal"/>
    <w:qFormat/>
    <w:rsid w:val="00CC1875"/>
    <w:pPr>
      <w:keepNext/>
      <w:keepLines/>
      <w:spacing w:before="40" w:after="40"/>
      <w:jc w:val="right"/>
    </w:pPr>
    <w:rPr>
      <w:rFonts w:ascii="Arial (W1)" w:hAnsi="Arial (W1)"/>
      <w:sz w:val="16"/>
    </w:rPr>
  </w:style>
  <w:style w:type="paragraph" w:styleId="Cabealho">
    <w:name w:val="header"/>
    <w:basedOn w:val="Normal"/>
    <w:unhideWhenUsed/>
    <w:rsid w:val="00CC1875"/>
    <w:pPr>
      <w:tabs>
        <w:tab w:val="center" w:pos="4252"/>
        <w:tab w:val="right" w:pos="8504"/>
      </w:tabs>
      <w:spacing w:before="0" w:after="0" w:line="240" w:lineRule="auto"/>
      <w:jc w:val="left"/>
    </w:pPr>
    <w:rPr>
      <w:rFonts w:ascii="Calibri" w:eastAsia="Calibri" w:hAnsi="Calibri"/>
      <w:sz w:val="22"/>
      <w:szCs w:val="22"/>
      <w:lang w:eastAsia="en-US"/>
    </w:rPr>
  </w:style>
  <w:style w:type="table" w:styleId="Tabelacomgrade">
    <w:name w:val="Table Grid"/>
    <w:basedOn w:val="Tabelanormal"/>
    <w:uiPriority w:val="59"/>
    <w:rsid w:val="003835B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DMRange1">
    <w:name w:val="CDM Range 1"/>
    <w:basedOn w:val="Tabelanormal"/>
    <w:next w:val="Tabelanormal"/>
    <w:semiHidden/>
    <w:pPr>
      <w:spacing w:after="0" w:line="240" w:lineRule="auto"/>
    </w:pPr>
    <w:rPr>
      <w:rFonts w:ascii="Times New Roman" w:eastAsia="Times New Roman" w:hAnsi="Times New Roman" w:cs="Times New Roman"/>
      <w:sz w:val="20"/>
      <w:szCs w:val="20"/>
      <w:lang w:val="en-US"/>
    </w:rPr>
    <w:tblPr/>
  </w:style>
  <w:style w:type="table" w:customStyle="1" w:styleId="TableGrid0">
    <w:name w:val="Table Grid_0"/>
    <w:basedOn w:val="Tabelanormal"/>
    <w:uiPriority w:val="59"/>
    <w:rsid w:val="005B03E3"/>
    <w:pPr>
      <w:spacing w:after="0" w:line="240" w:lineRule="auto"/>
    </w:pPr>
    <w:rPr>
      <w:rFonts w:ascii="Calibri" w:eastAsia="Calibri" w:hAnsi="Calibri" w:cs="Arial"/>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CDMRange2">
    <w:name w:val="CDM Range 2"/>
    <w:basedOn w:val="Tabelanormal"/>
    <w:next w:val="Tabelanormal"/>
    <w:semiHidden/>
    <w:pPr>
      <w:spacing w:after="0" w:line="240" w:lineRule="auto"/>
    </w:pPr>
    <w:rPr>
      <w:rFonts w:ascii="Times New Roman" w:eastAsia="Times New Roman" w:hAnsi="Times New Roman" w:cs="Times New Roman"/>
      <w:sz w:val="20"/>
      <w:szCs w:val="20"/>
      <w:lang w:val="en-US"/>
    </w:rPr>
    <w:tblPr/>
  </w:style>
  <w:style w:type="table" w:customStyle="1" w:styleId="TableGrid1">
    <w:name w:val="Table Grid_1"/>
    <w:basedOn w:val="Tabelanormal"/>
    <w:uiPriority w:val="59"/>
    <w:rsid w:val="005B03E3"/>
    <w:pPr>
      <w:spacing w:after="0" w:line="240" w:lineRule="auto"/>
    </w:pPr>
    <w:rPr>
      <w:rFonts w:ascii="Calibri" w:eastAsia="Calibri" w:hAnsi="Calibri" w:cs="Arial"/>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CDMRange10">
    <w:name w:val="CDM Range 1_0"/>
    <w:basedOn w:val="Tabelanormal"/>
    <w:next w:val="Tabelanormal"/>
    <w:semiHidden/>
    <w:pPr>
      <w:spacing w:after="0" w:line="240" w:lineRule="auto"/>
    </w:pPr>
    <w:rPr>
      <w:rFonts w:ascii="Times New Roman" w:eastAsia="Times New Roman" w:hAnsi="Times New Roman" w:cs="Times New Roman"/>
      <w:sz w:val="20"/>
      <w:szCs w:val="20"/>
      <w:lang w:val="en-US"/>
    </w:rPr>
    <w:tblPr/>
  </w:style>
  <w:style w:type="table" w:customStyle="1" w:styleId="TableGrid2">
    <w:name w:val="Table Grid_2"/>
    <w:basedOn w:val="Tabelanormal"/>
    <w:uiPriority w:val="59"/>
    <w:rsid w:val="005B03E3"/>
    <w:pPr>
      <w:spacing w:after="0" w:line="240" w:lineRule="auto"/>
    </w:pPr>
    <w:rPr>
      <w:rFonts w:ascii="Calibri" w:eastAsia="Calibri" w:hAnsi="Calibri" w:cs="Arial"/>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CDMRange20">
    <w:name w:val="CDM Range 2_0"/>
    <w:basedOn w:val="Tabelanormal"/>
    <w:next w:val="Tabelanormal"/>
    <w:semiHidden/>
    <w:pPr>
      <w:spacing w:after="0" w:line="240" w:lineRule="auto"/>
    </w:pPr>
    <w:rPr>
      <w:rFonts w:ascii="Times New Roman" w:eastAsia="Times New Roman" w:hAnsi="Times New Roman" w:cs="Times New Roman"/>
      <w:sz w:val="20"/>
      <w:szCs w:val="20"/>
      <w:lang w:val="en-US"/>
    </w:rPr>
    <w:tblPr/>
  </w:style>
  <w:style w:type="paragraph" w:customStyle="1" w:styleId="02-TtulodeNota">
    <w:name w:val="02-Título de Nota"/>
    <w:basedOn w:val="Normal"/>
    <w:next w:val="Normal"/>
    <w:autoRedefine/>
    <w:qFormat/>
    <w:rsid w:val="00C464B6"/>
    <w:pPr>
      <w:keepNext/>
      <w:keepLines/>
      <w:widowControl w:val="0"/>
      <w:suppressLineNumbers/>
      <w:tabs>
        <w:tab w:val="left" w:pos="454"/>
      </w:tabs>
      <w:suppressAutoHyphens/>
      <w:spacing w:before="0" w:line="240" w:lineRule="auto"/>
      <w:ind w:left="454" w:hanging="454"/>
    </w:pPr>
    <w:rPr>
      <w:rFonts w:cs="Arial"/>
      <w:b/>
      <w:caps/>
      <w:color w:val="000000"/>
      <w:kern w:val="20"/>
      <w:sz w:val="20"/>
      <w:szCs w:val="22"/>
    </w:rPr>
  </w:style>
  <w:style w:type="paragraph" w:customStyle="1" w:styleId="03-SubttulodeNota">
    <w:name w:val="03-Subtítulo de Nota"/>
    <w:basedOn w:val="01-Textonormal"/>
    <w:next w:val="Cabealho"/>
    <w:autoRedefine/>
    <w:qFormat/>
    <w:rsid w:val="00A869EF"/>
    <w:pPr>
      <w:keepNext/>
      <w:numPr>
        <w:ilvl w:val="1"/>
        <w:numId w:val="1"/>
      </w:numPr>
      <w:tabs>
        <w:tab w:val="left" w:pos="454"/>
      </w:tabs>
    </w:pPr>
    <w:rPr>
      <w:b/>
      <w:kern w:val="18"/>
      <w:szCs w:val="18"/>
    </w:rPr>
  </w:style>
  <w:style w:type="paragraph" w:customStyle="1" w:styleId="07-Legenda">
    <w:name w:val="07-Legenda"/>
    <w:basedOn w:val="01-Textonormal"/>
    <w:qFormat/>
    <w:rsid w:val="00090AE1"/>
    <w:pPr>
      <w:keepLines/>
      <w:tabs>
        <w:tab w:val="left" w:pos="284"/>
      </w:tabs>
      <w:spacing w:before="40" w:after="0"/>
      <w:ind w:left="284" w:hanging="284"/>
    </w:pPr>
    <w:rPr>
      <w:rFonts w:ascii="Arial (W1)" w:hAnsi="Arial (W1)"/>
      <w:sz w:val="14"/>
    </w:rPr>
  </w:style>
  <w:style w:type="paragraph" w:customStyle="1" w:styleId="01-Textonormal1">
    <w:name w:val="01-Texto normal_1"/>
    <w:basedOn w:val="Normal"/>
    <w:qFormat/>
    <w:rsid w:val="00AC4CE4"/>
    <w:pPr>
      <w:suppressAutoHyphens/>
      <w:spacing w:line="240" w:lineRule="auto"/>
    </w:pPr>
    <w:rPr>
      <w:kern w:val="20"/>
      <w:szCs w:val="20"/>
    </w:rPr>
  </w:style>
  <w:style w:type="character" w:styleId="Hyperlink">
    <w:name w:val="Hyperlink"/>
    <w:basedOn w:val="Fontepargpadro"/>
    <w:uiPriority w:val="99"/>
    <w:unhideWhenUsed/>
    <w:rsid w:val="0033072A"/>
    <w:rPr>
      <w:color w:val="0000FF"/>
      <w:u w:val="single"/>
    </w:rPr>
  </w:style>
  <w:style w:type="paragraph" w:styleId="PargrafodaLista">
    <w:name w:val="List Paragraph"/>
    <w:basedOn w:val="Normal"/>
    <w:uiPriority w:val="34"/>
    <w:qFormat/>
    <w:rsid w:val="00177721"/>
    <w:pPr>
      <w:spacing w:before="0" w:after="200"/>
      <w:ind w:left="720"/>
      <w:contextualSpacing/>
      <w:jc w:val="left"/>
    </w:pPr>
    <w:rPr>
      <w:rFonts w:ascii="Calibri" w:eastAsia="Calibri" w:hAnsi="Calibri"/>
      <w:sz w:val="22"/>
      <w:szCs w:val="22"/>
      <w:lang w:eastAsia="en-US"/>
    </w:rPr>
  </w:style>
  <w:style w:type="paragraph" w:customStyle="1" w:styleId="050-TextoPadro">
    <w:name w:val="050 - Texto Padrão"/>
    <w:basedOn w:val="Normal"/>
    <w:link w:val="050-TextoPadroChar"/>
    <w:qFormat/>
    <w:rsid w:val="003E074D"/>
    <w:pPr>
      <w:keepNext/>
      <w:keepLines/>
    </w:pPr>
    <w:rPr>
      <w:lang w:val="en-US"/>
    </w:rPr>
  </w:style>
  <w:style w:type="character" w:customStyle="1" w:styleId="050-TextoPadroChar">
    <w:name w:val="050 - Texto Padrão Char"/>
    <w:basedOn w:val="Fontepargpadro"/>
    <w:link w:val="050-TextoPadro"/>
    <w:locked/>
    <w:rsid w:val="003E074D"/>
    <w:rPr>
      <w:rFonts w:ascii="Arial" w:eastAsia="Times New Roman" w:hAnsi="Arial" w:cs="Times New Roman"/>
      <w:sz w:val="18"/>
      <w:szCs w:val="18"/>
      <w:lang w:val="en-US" w:eastAsia="pt-BR"/>
    </w:rPr>
  </w:style>
  <w:style w:type="paragraph" w:customStyle="1" w:styleId="030-SubttulodeDocumento">
    <w:name w:val="030 - Subtítulo de Documento"/>
    <w:basedOn w:val="Normal"/>
    <w:next w:val="Normal"/>
    <w:qFormat/>
    <w:rsid w:val="003E074D"/>
    <w:pPr>
      <w:keepNext/>
      <w:keepLines/>
      <w:numPr>
        <w:ilvl w:val="2"/>
        <w:numId w:val="5"/>
      </w:numPr>
      <w:spacing w:line="240" w:lineRule="auto"/>
      <w:outlineLvl w:val="2"/>
    </w:pPr>
    <w:rPr>
      <w:b/>
      <w:sz w:val="20"/>
    </w:rPr>
  </w:style>
  <w:style w:type="numbering" w:customStyle="1" w:styleId="PubliConLista">
    <w:name w:val="PubliConLista"/>
    <w:uiPriority w:val="99"/>
    <w:rsid w:val="003E074D"/>
    <w:pPr>
      <w:numPr>
        <w:numId w:val="5"/>
      </w:numPr>
    </w:pPr>
  </w:style>
  <w:style w:type="character" w:customStyle="1" w:styleId="Ttulo1Char">
    <w:name w:val="Título 1 Char"/>
    <w:basedOn w:val="Fontepargpadro"/>
    <w:link w:val="Ttulo1"/>
    <w:uiPriority w:val="9"/>
    <w:rsid w:val="003E074D"/>
    <w:rPr>
      <w:rFonts w:ascii="Cambria" w:eastAsia="Times New Roman" w:hAnsi="Cambria" w:cs="Times New Roman"/>
      <w:color w:val="365F91"/>
      <w:sz w:val="32"/>
      <w:szCs w:val="32"/>
    </w:rPr>
  </w:style>
  <w:style w:type="paragraph" w:customStyle="1" w:styleId="040-SubttuloEspecial">
    <w:name w:val="040 - Subtítulo Especial"/>
    <w:basedOn w:val="030-SubttulodeDocumento"/>
    <w:next w:val="Normal"/>
    <w:link w:val="040-SubttuloEspecialChar"/>
    <w:qFormat/>
    <w:rsid w:val="003E074D"/>
    <w:pPr>
      <w:numPr>
        <w:ilvl w:val="4"/>
      </w:numPr>
      <w:outlineLvl w:val="4"/>
    </w:pPr>
    <w:rPr>
      <w:lang w:val="en-US"/>
    </w:rPr>
  </w:style>
  <w:style w:type="character" w:customStyle="1" w:styleId="040-SubttuloEspecialChar">
    <w:name w:val="040 - Subtítulo Especial Char"/>
    <w:basedOn w:val="Fontepargpadro"/>
    <w:link w:val="040-SubttuloEspecial"/>
    <w:locked/>
    <w:rsid w:val="003E074D"/>
    <w:rPr>
      <w:rFonts w:ascii="Arial" w:eastAsia="Times New Roman" w:hAnsi="Arial" w:cs="Times New Roman"/>
      <w:b/>
      <w:sz w:val="20"/>
      <w:szCs w:val="18"/>
      <w:lang w:val="en-US" w:eastAsia="pt-BR"/>
    </w:rPr>
  </w:style>
  <w:style w:type="paragraph" w:customStyle="1" w:styleId="Corpodetextobt3">
    <w:name w:val="Corpo de texto.bt3"/>
    <w:basedOn w:val="Normal"/>
    <w:rsid w:val="00855595"/>
    <w:pPr>
      <w:widowControl w:val="0"/>
      <w:spacing w:before="0" w:after="0" w:line="240" w:lineRule="auto"/>
    </w:pPr>
    <w:rPr>
      <w:sz w:val="20"/>
      <w:szCs w:val="20"/>
    </w:rPr>
  </w:style>
  <w:style w:type="paragraph" w:customStyle="1" w:styleId="Normal13">
    <w:name w:val="Normal_13"/>
    <w:qFormat/>
    <w:rsid w:val="000E7A66"/>
    <w:pPr>
      <w:spacing w:after="0" w:line="240" w:lineRule="auto"/>
    </w:pPr>
    <w:rPr>
      <w:rFonts w:ascii="Calibri" w:eastAsia="Calibri" w:hAnsi="Calibri" w:cs="Times New Roman"/>
      <w:sz w:val="20"/>
      <w:szCs w:val="20"/>
    </w:rPr>
  </w:style>
  <w:style w:type="paragraph" w:customStyle="1" w:styleId="01-Textonormal5">
    <w:name w:val="01-Texto normal_5"/>
    <w:basedOn w:val="Normal13"/>
    <w:uiPriority w:val="99"/>
    <w:qFormat/>
    <w:rsid w:val="000E7A66"/>
    <w:pPr>
      <w:suppressAutoHyphens/>
      <w:spacing w:before="120" w:after="120"/>
      <w:jc w:val="both"/>
    </w:pPr>
    <w:rPr>
      <w:rFonts w:ascii="Arial" w:eastAsia="Times New Roman" w:hAnsi="Arial"/>
      <w:kern w:val="20"/>
      <w:sz w:val="18"/>
      <w:lang w:eastAsia="pt-BR"/>
    </w:rPr>
  </w:style>
  <w:style w:type="paragraph" w:customStyle="1" w:styleId="03-SubttulodeNota6">
    <w:name w:val="03-Subtítulo de Nota_6"/>
    <w:basedOn w:val="01-Textonormal5"/>
    <w:next w:val="Normal"/>
    <w:autoRedefine/>
    <w:qFormat/>
    <w:rsid w:val="00561B28"/>
    <w:pPr>
      <w:keepNext/>
      <w:tabs>
        <w:tab w:val="left" w:pos="0"/>
        <w:tab w:val="left" w:pos="454"/>
      </w:tabs>
    </w:pPr>
    <w:rPr>
      <w:b/>
      <w:kern w:val="18"/>
    </w:rPr>
  </w:style>
  <w:style w:type="paragraph" w:styleId="Rodap">
    <w:name w:val="footer"/>
    <w:basedOn w:val="Normal"/>
    <w:link w:val="RodapChar"/>
    <w:unhideWhenUsed/>
    <w:rsid w:val="002872BB"/>
    <w:pPr>
      <w:tabs>
        <w:tab w:val="center" w:pos="4680"/>
        <w:tab w:val="right" w:pos="9360"/>
      </w:tabs>
      <w:spacing w:before="0" w:after="0" w:line="240" w:lineRule="auto"/>
      <w:jc w:val="left"/>
    </w:pPr>
    <w:rPr>
      <w:rFonts w:ascii="Calibri" w:eastAsia="Calibri" w:hAnsi="Calibri"/>
      <w:sz w:val="22"/>
      <w:szCs w:val="22"/>
      <w:lang w:eastAsia="en-US"/>
    </w:rPr>
  </w:style>
  <w:style w:type="character" w:customStyle="1" w:styleId="RodapChar">
    <w:name w:val="Rodapé Char"/>
    <w:basedOn w:val="Fontepargpadro"/>
    <w:link w:val="Rodap"/>
    <w:rsid w:val="002872BB"/>
    <w:rPr>
      <w:rFonts w:ascii="Calibri" w:eastAsia="Calibri" w:hAnsi="Calibri" w:cs="Arial"/>
      <w:lang w:val="en-US"/>
    </w:rPr>
  </w:style>
  <w:style w:type="paragraph" w:customStyle="1" w:styleId="17TEXTOcorpojustificado">
    <w:name w:val="17. «TEXTO» corpo justificado"/>
    <w:basedOn w:val="Normal"/>
    <w:link w:val="17TEXTOcorpojustificadoChar"/>
    <w:rsid w:val="001258E9"/>
    <w:pPr>
      <w:spacing w:before="0" w:after="0" w:line="260" w:lineRule="atLeast"/>
    </w:pPr>
    <w:rPr>
      <w:rFonts w:ascii="Times" w:hAnsi="Times"/>
      <w:sz w:val="22"/>
      <w:szCs w:val="20"/>
      <w:lang w:eastAsia="en-US"/>
    </w:rPr>
  </w:style>
  <w:style w:type="character" w:customStyle="1" w:styleId="17TEXTOcorpojustificadoChar">
    <w:name w:val="17. «TEXTO» corpo justificado Char"/>
    <w:basedOn w:val="Fontepargpadro"/>
    <w:link w:val="17TEXTOcorpojustificado"/>
    <w:rsid w:val="001258E9"/>
    <w:rPr>
      <w:rFonts w:ascii="Times" w:eastAsia="Times New Roman" w:hAnsi="Times" w:cs="Times New Roman"/>
      <w:szCs w:val="20"/>
    </w:rPr>
  </w:style>
  <w:style w:type="paragraph" w:styleId="Corpodetexto">
    <w:name w:val="Body Text"/>
    <w:basedOn w:val="Normal"/>
    <w:link w:val="CorpodetextoChar"/>
    <w:uiPriority w:val="1"/>
    <w:semiHidden/>
    <w:unhideWhenUsed/>
    <w:qFormat/>
    <w:rsid w:val="004713B3"/>
    <w:pPr>
      <w:widowControl w:val="0"/>
      <w:spacing w:before="0" w:after="0" w:line="240" w:lineRule="auto"/>
      <w:ind w:left="112" w:hanging="10"/>
      <w:jc w:val="left"/>
    </w:pPr>
    <w:rPr>
      <w:rFonts w:ascii="Times New Roman" w:hAnsi="Times New Roman"/>
      <w:sz w:val="24"/>
      <w:szCs w:val="24"/>
      <w:lang w:val="en-US" w:eastAsia="en-US"/>
    </w:rPr>
  </w:style>
  <w:style w:type="character" w:customStyle="1" w:styleId="CorpodetextoChar">
    <w:name w:val="Corpo de texto Char"/>
    <w:basedOn w:val="Fontepargpadro"/>
    <w:link w:val="Corpodetexto"/>
    <w:uiPriority w:val="1"/>
    <w:semiHidden/>
    <w:rsid w:val="004713B3"/>
    <w:rPr>
      <w:rFonts w:ascii="Times New Roman" w:eastAsia="Times New Roman" w:hAnsi="Times New Roman" w:cs="Times New Roman"/>
      <w:sz w:val="24"/>
      <w:szCs w:val="24"/>
      <w:lang w:val="en-US"/>
    </w:rPr>
  </w:style>
  <w:style w:type="character" w:customStyle="1" w:styleId="Ttulo3Char">
    <w:name w:val="Título 3 Char"/>
    <w:basedOn w:val="Fontepargpadro"/>
    <w:link w:val="Ttulo3"/>
    <w:uiPriority w:val="9"/>
    <w:semiHidden/>
    <w:rsid w:val="00620965"/>
    <w:rPr>
      <w:rFonts w:ascii="Cambria" w:eastAsia="Times New Roman" w:hAnsi="Cambria" w:cs="Times New Roman"/>
      <w:color w:val="243F60"/>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17.xml"/><Relationship Id="rId21" Type="http://schemas.openxmlformats.org/officeDocument/2006/relationships/footer" Target="footer5.xml"/><Relationship Id="rId34" Type="http://schemas.openxmlformats.org/officeDocument/2006/relationships/footer" Target="footer12.xml"/><Relationship Id="rId42" Type="http://schemas.openxmlformats.org/officeDocument/2006/relationships/header" Target="header18.xml"/><Relationship Id="rId47" Type="http://schemas.openxmlformats.org/officeDocument/2006/relationships/footer" Target="footer18.xml"/><Relationship Id="rId50" Type="http://schemas.openxmlformats.org/officeDocument/2006/relationships/hyperlink" Target="http://www.bb.com.br/ri" TargetMode="External"/><Relationship Id="rId55" Type="http://schemas.openxmlformats.org/officeDocument/2006/relationships/header" Target="header24.xml"/><Relationship Id="rId63"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8.xml"/><Relationship Id="rId29" Type="http://schemas.openxmlformats.org/officeDocument/2006/relationships/header" Target="header12.xml"/><Relationship Id="rId41" Type="http://schemas.openxmlformats.org/officeDocument/2006/relationships/footer" Target="footer15.xml"/><Relationship Id="rId54" Type="http://schemas.openxmlformats.org/officeDocument/2006/relationships/footer" Target="footer21.xml"/><Relationship Id="rId62" Type="http://schemas.openxmlformats.org/officeDocument/2006/relationships/footer" Target="footer2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yperlink" Target="http://www.ativossa.com.br" TargetMode="External"/><Relationship Id="rId40" Type="http://schemas.openxmlformats.org/officeDocument/2006/relationships/footer" Target="footer14.xml"/><Relationship Id="rId45" Type="http://schemas.openxmlformats.org/officeDocument/2006/relationships/header" Target="header20.xml"/><Relationship Id="rId53" Type="http://schemas.openxmlformats.org/officeDocument/2006/relationships/footer" Target="footer20.xml"/><Relationship Id="rId58" Type="http://schemas.openxmlformats.org/officeDocument/2006/relationships/header" Target="header26.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eader" Target="header9.xml"/><Relationship Id="rId28" Type="http://schemas.openxmlformats.org/officeDocument/2006/relationships/footer" Target="footer9.xml"/><Relationship Id="rId36" Type="http://schemas.openxmlformats.org/officeDocument/2006/relationships/footer" Target="footer13.xml"/><Relationship Id="rId49" Type="http://schemas.openxmlformats.org/officeDocument/2006/relationships/footer" Target="footer19.xml"/><Relationship Id="rId57" Type="http://schemas.openxmlformats.org/officeDocument/2006/relationships/header" Target="header25.xml"/><Relationship Id="rId61" Type="http://schemas.openxmlformats.org/officeDocument/2006/relationships/header" Target="header27.xm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header" Target="header13.xml"/><Relationship Id="rId44" Type="http://schemas.openxmlformats.org/officeDocument/2006/relationships/header" Target="header19.xml"/><Relationship Id="rId52" Type="http://schemas.openxmlformats.org/officeDocument/2006/relationships/header" Target="header23.xml"/><Relationship Id="rId60" Type="http://schemas.openxmlformats.org/officeDocument/2006/relationships/footer" Target="footer24.xm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5.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footer" Target="footer10.xml"/><Relationship Id="rId35" Type="http://schemas.openxmlformats.org/officeDocument/2006/relationships/header" Target="header15.xml"/><Relationship Id="rId43" Type="http://schemas.openxmlformats.org/officeDocument/2006/relationships/footer" Target="footer16.xml"/><Relationship Id="rId48" Type="http://schemas.openxmlformats.org/officeDocument/2006/relationships/header" Target="header21.xml"/><Relationship Id="rId56" Type="http://schemas.openxmlformats.org/officeDocument/2006/relationships/footer" Target="footer22.xml"/><Relationship Id="rId64" Type="http://schemas.openxmlformats.org/officeDocument/2006/relationships/glossaryDocument" Target="glossary/document.xml"/><Relationship Id="rId8" Type="http://schemas.openxmlformats.org/officeDocument/2006/relationships/header" Target="header2.xml"/><Relationship Id="rId51" Type="http://schemas.openxmlformats.org/officeDocument/2006/relationships/header" Target="header22.xml"/><Relationship Id="rId3"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footer" Target="footer11.xml"/><Relationship Id="rId38" Type="http://schemas.openxmlformats.org/officeDocument/2006/relationships/header" Target="header16.xml"/><Relationship Id="rId46" Type="http://schemas.openxmlformats.org/officeDocument/2006/relationships/footer" Target="footer17.xml"/><Relationship Id="rId59" Type="http://schemas.openxmlformats.org/officeDocument/2006/relationships/footer" Target="footer23.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s>
</file>

<file path=word/_rels/footer5.xml.rels><?xml version="1.0" encoding="UTF-8" standalone="yes"?>
<Relationships xmlns="http://schemas.openxmlformats.org/package/2006/relationships"><Relationship Id="rId1" Type="http://schemas.openxmlformats.org/officeDocument/2006/relationships/image" Target="media/image7.png"/></Relationships>
</file>

<file path=word/_rels/footer6.xml.rels><?xml version="1.0" encoding="UTF-8" standalone="yes"?>
<Relationships xmlns="http://schemas.openxmlformats.org/package/2006/relationships"><Relationship Id="rId1" Type="http://schemas.openxmlformats.org/officeDocument/2006/relationships/image" Target="media/image7.png"/></Relationships>
</file>

<file path=word/_rels/footer8.xml.rels><?xml version="1.0" encoding="UTF-8" standalone="yes"?>
<Relationships xmlns="http://schemas.openxmlformats.org/package/2006/relationships"><Relationship Id="rId1" Type="http://schemas.openxmlformats.org/officeDocument/2006/relationships/image" Target="media/image7.png"/></Relationships>
</file>

<file path=word/_rels/footer9.xml.rels><?xml version="1.0" encoding="UTF-8" standalone="yes"?>
<Relationships xmlns="http://schemas.openxmlformats.org/package/2006/relationships"><Relationship Id="rId1" Type="http://schemas.openxmlformats.org/officeDocument/2006/relationships/image" Target="media/image7.png"/></Relationships>
</file>

<file path=word/_rels/footer11.xml.rels><?xml version="1.0" encoding="UTF-8" standalone="yes"?>
<Relationships xmlns="http://schemas.openxmlformats.org/package/2006/relationships"><Relationship Id="rId1" Type="http://schemas.openxmlformats.org/officeDocument/2006/relationships/image" Target="media/image7.png"/></Relationships>
</file>

<file path=word/_rels/footer12.xml.rels><?xml version="1.0" encoding="UTF-8" standalone="yes"?>
<Relationships xmlns="http://schemas.openxmlformats.org/package/2006/relationships"><Relationship Id="rId1" Type="http://schemas.openxmlformats.org/officeDocument/2006/relationships/image" Target="media/image7.png"/></Relationships>
</file>

<file path=word/_rels/footer14.xml.rels><?xml version="1.0" encoding="UTF-8" standalone="yes"?>
<Relationships xmlns="http://schemas.openxmlformats.org/package/2006/relationships"><Relationship Id="rId1" Type="http://schemas.openxmlformats.org/officeDocument/2006/relationships/image" Target="media/image7.png"/></Relationships>
</file>

<file path=word/_rels/footer15.xml.rels><?xml version="1.0" encoding="UTF-8" standalone="yes"?>
<Relationships xmlns="http://schemas.openxmlformats.org/package/2006/relationships"><Relationship Id="rId1" Type="http://schemas.openxmlformats.org/officeDocument/2006/relationships/image" Target="media/image7.png"/></Relationships>
</file>

<file path=word/_rels/footer17.xml.rels><?xml version="1.0" encoding="UTF-8" standalone="yes"?>
<Relationships xmlns="http://schemas.openxmlformats.org/package/2006/relationships"><Relationship Id="rId1" Type="http://schemas.openxmlformats.org/officeDocument/2006/relationships/image" Target="media/image7.png"/></Relationships>
</file>

<file path=word/_rels/footer18.xml.rels><?xml version="1.0" encoding="UTF-8" standalone="yes"?>
<Relationships xmlns="http://schemas.openxmlformats.org/package/2006/relationships"><Relationship Id="rId1" Type="http://schemas.openxmlformats.org/officeDocument/2006/relationships/image" Target="media/image7.png"/></Relationships>
</file>

<file path=word/_rels/footer20.xml.rels><?xml version="1.0" encoding="UTF-8" standalone="yes"?>
<Relationships xmlns="http://schemas.openxmlformats.org/package/2006/relationships"><Relationship Id="rId1" Type="http://schemas.openxmlformats.org/officeDocument/2006/relationships/image" Target="media/image7.png"/></Relationships>
</file>

<file path=word/_rels/footer21.xml.rels><?xml version="1.0" encoding="UTF-8" standalone="yes"?>
<Relationships xmlns="http://schemas.openxmlformats.org/package/2006/relationships"><Relationship Id="rId1" Type="http://schemas.openxmlformats.org/officeDocument/2006/relationships/image" Target="media/image7.png"/></Relationships>
</file>

<file path=word/_rels/footer23.xml.rels><?xml version="1.0" encoding="UTF-8" standalone="yes"?>
<Relationships xmlns="http://schemas.openxmlformats.org/package/2006/relationships"><Relationship Id="rId1" Type="http://schemas.openxmlformats.org/officeDocument/2006/relationships/image" Target="media/image7.png"/></Relationships>
</file>

<file path=word/_rels/footer24.xml.rels><?xml version="1.0" encoding="UTF-8" standalone="yes"?>
<Relationships xmlns="http://schemas.openxmlformats.org/package/2006/relationships"><Relationship Id="rId1" Type="http://schemas.openxmlformats.org/officeDocument/2006/relationships/image" Target="media/image7.png"/></Relationships>
</file>

<file path=word/_rels/header4.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5.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7.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8.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10.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1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1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14.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16.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17.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19.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20.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2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2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25.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_rels/header26.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4" Type="http://schemas.openxmlformats.org/officeDocument/2006/relationships/image" Target="media/image6.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22675703"/>
        <w:category>
          <w:name w:val="General"/>
          <w:gallery w:val="placeholder"/>
        </w:category>
        <w:types>
          <w:type w:val="bbPlcHdr"/>
        </w:types>
        <w:behaviors>
          <w:behavior w:val="content"/>
        </w:behaviors>
        <w:guid w:val="{D50AA7D3-5837-4383-9626-1C05F7A42289}"/>
      </w:docPartPr>
      <w:docPartBody>
        <w:p w:rsidR="00FA1DAF" w:rsidRDefault="00FA1DAF">
          <w:r>
            <w:rPr>
              <w:rStyle w:val="TextodoEspaoReservado2"/>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1)">
    <w:altName w:val="Arial"/>
    <w:panose1 w:val="00000000000000000000"/>
    <w:charset w:val="00"/>
    <w:family w:val="swiss"/>
    <w:notTrueType/>
    <w:pitch w:val="variable"/>
    <w:sig w:usb0="00000000" w:usb1="80000000" w:usb2="00000008" w:usb3="00000000" w:csb0="000000FF" w:csb1="00000000"/>
  </w:font>
  <w:font w:name="Times">
    <w:altName w:val="Times New Roman"/>
    <w:panose1 w:val="00000000000000000000"/>
    <w:charset w:val="00"/>
    <w:family w:val="roman"/>
    <w:notTrueType/>
    <w:pitch w:val="variable"/>
    <w:sig w:usb0="00000003" w:usb1="00000000" w:usb2="00000000" w:usb3="00000000" w:csb0="00000001" w:csb1="00000000"/>
  </w:font>
  <w:font w:name="Arial-Bold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314"/>
    <w:rsid w:val="00096B3D"/>
    <w:rsid w:val="00383F98"/>
    <w:rsid w:val="00B314D4"/>
    <w:rsid w:val="00BC275C"/>
    <w:rsid w:val="00D819FF"/>
    <w:rsid w:val="00E51314"/>
    <w:rsid w:val="00FA1DA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oEspaoReservado1">
    <w:name w:val="Texto do Espaço Reservado1"/>
    <w:basedOn w:val="Fontepargpadro"/>
    <w:uiPriority w:val="99"/>
    <w:semiHidden/>
    <w:rsid w:val="00E51314"/>
    <w:rPr>
      <w:color w:val="808080"/>
    </w:rPr>
  </w:style>
  <w:style w:type="paragraph" w:customStyle="1" w:styleId="C5213338463B4C838BADBF348084122C">
    <w:name w:val="C5213338463B4C838BADBF348084122C"/>
    <w:rsid w:val="00E51314"/>
  </w:style>
  <w:style w:type="character" w:customStyle="1" w:styleId="TextodoEspaoReservado2">
    <w:name w:val="Texto do Espaço Reservado2"/>
    <w:basedOn w:val="Fontepargpadro"/>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34</Pages>
  <Words>11906</Words>
  <Characters>64297</Characters>
  <Application>Microsoft Office Word</Application>
  <DocSecurity>0</DocSecurity>
  <Lines>535</Lines>
  <Paragraphs>152</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76051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Fabio Helio Scancetti Tavares</dc:creator>
  <cp:lastModifiedBy>Pedro Maia Ximenes</cp:lastModifiedBy>
  <cp:revision>5</cp:revision>
  <dcterms:created xsi:type="dcterms:W3CDTF">2020-02-26T19:26:00Z</dcterms:created>
  <dcterms:modified xsi:type="dcterms:W3CDTF">2020-03-03T20:26:00Z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ActionId">
    <vt:lpwstr>63e02daa-fef2-4f33-bdba-a04aeb4dd356</vt:lpwstr>
  </property>
  <property fmtid="{D5CDD505-2E9C-101B-9397-08002B2CF9AE}" pid="3" name="MSIP_Label_40881dc9-f7f2-41de-a334-ceff3dc15b31_Application">
    <vt:lpwstr>Microsoft Azure Information Protection</vt:lpwstr>
  </property>
  <property fmtid="{D5CDD505-2E9C-101B-9397-08002B2CF9AE}" pid="4" name="MSIP_Label_40881dc9-f7f2-41de-a334-ceff3dc15b31_Enabled">
    <vt:lpwstr>True</vt:lpwstr>
  </property>
  <property fmtid="{D5CDD505-2E9C-101B-9397-08002B2CF9AE}" pid="5" name="MSIP_Label_40881dc9-f7f2-41de-a334-ceff3dc15b31_Extended_MSFT_Method">
    <vt:lpwstr>Automatic</vt:lpwstr>
  </property>
  <property fmtid="{D5CDD505-2E9C-101B-9397-08002B2CF9AE}" pid="6" name="MSIP_Label_40881dc9-f7f2-41de-a334-ceff3dc15b31_Name">
    <vt:lpwstr>#Interna</vt:lpwstr>
  </property>
  <property fmtid="{D5CDD505-2E9C-101B-9397-08002B2CF9AE}" pid="7" name="MSIP_Label_40881dc9-f7f2-41de-a334-ceff3dc15b31_Owner">
    <vt:lpwstr>scancetti@bb.com.br</vt:lpwstr>
  </property>
  <property fmtid="{D5CDD505-2E9C-101B-9397-08002B2CF9AE}" pid="8" name="MSIP_Label_40881dc9-f7f2-41de-a334-ceff3dc15b31_SetDate">
    <vt:lpwstr>2019-10-17T12:44:14.3818169Z</vt:lpwstr>
  </property>
  <property fmtid="{D5CDD505-2E9C-101B-9397-08002B2CF9AE}" pid="9" name="MSIP_Label_40881dc9-f7f2-41de-a334-ceff3dc15b31_SiteId">
    <vt:lpwstr>ea0c2907-38d2-4181-8750-b0b190b60443</vt:lpwstr>
  </property>
  <property fmtid="{D5CDD505-2E9C-101B-9397-08002B2CF9AE}" pid="10" name="Sensitivity">
    <vt:lpwstr>#Interna</vt:lpwstr>
  </property>
</Properties>
</file>